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29" w:rsidRDefault="00002229" w:rsidP="00002229">
      <w:pPr>
        <w:jc w:val="center"/>
        <w:rPr>
          <w:rFonts w:ascii="Times New Roman" w:hAnsi="Times New Roman" w:cs="Times New Roman"/>
        </w:rPr>
      </w:pPr>
      <w:r>
        <w:rPr>
          <w:rFonts w:ascii="Times New Roman" w:hAnsi="Times New Roman" w:cs="Times New Roman"/>
          <w:noProof/>
          <w:lang w:eastAsia="lv-LV"/>
        </w:rPr>
        <w:drawing>
          <wp:inline distT="0" distB="0" distL="0" distR="0">
            <wp:extent cx="3486150" cy="1494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nkarss_bez_laukuma_rgb_h_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5567" cy="1498220"/>
                    </a:xfrm>
                    <a:prstGeom prst="rect">
                      <a:avLst/>
                    </a:prstGeom>
                  </pic:spPr>
                </pic:pic>
              </a:graphicData>
            </a:graphic>
          </wp:inline>
        </w:drawing>
      </w:r>
    </w:p>
    <w:p w:rsidR="00002229" w:rsidRPr="00002229" w:rsidRDefault="00A037E5" w:rsidP="00002229">
      <w:pPr>
        <w:jc w:val="center"/>
        <w:rPr>
          <w:rFonts w:ascii="Times New Roman" w:hAnsi="Times New Roman" w:cs="Times New Roman"/>
          <w:b/>
          <w:sz w:val="32"/>
        </w:rPr>
      </w:pPr>
      <w:r>
        <w:rPr>
          <w:rFonts w:ascii="Times New Roman" w:hAnsi="Times New Roman" w:cs="Times New Roman"/>
          <w:b/>
          <w:sz w:val="32"/>
        </w:rPr>
        <w:t xml:space="preserve">Nodokļu konvenciju </w:t>
      </w:r>
      <w:bookmarkStart w:id="0" w:name="_GoBack"/>
      <w:bookmarkEnd w:id="0"/>
      <w:r>
        <w:rPr>
          <w:rFonts w:ascii="Times New Roman" w:hAnsi="Times New Roman" w:cs="Times New Roman"/>
          <w:b/>
          <w:sz w:val="32"/>
        </w:rPr>
        <w:t>būtība un uzdevumi</w:t>
      </w:r>
    </w:p>
    <w:p w:rsidR="00002229" w:rsidRDefault="00002229" w:rsidP="00002229">
      <w:pPr>
        <w:rPr>
          <w:rFonts w:ascii="Times New Roman" w:hAnsi="Times New Roman" w:cs="Times New Roman"/>
        </w:rPr>
      </w:pPr>
    </w:p>
    <w:p w:rsidR="00002229" w:rsidRPr="00002229" w:rsidRDefault="00002229" w:rsidP="00002229">
      <w:pPr>
        <w:rPr>
          <w:rFonts w:ascii="Times New Roman" w:hAnsi="Times New Roman" w:cs="Times New Roman"/>
          <w:sz w:val="32"/>
        </w:rPr>
      </w:pPr>
      <w:r w:rsidRPr="00002229">
        <w:rPr>
          <w:rFonts w:ascii="Times New Roman" w:hAnsi="Times New Roman" w:cs="Times New Roman"/>
          <w:sz w:val="32"/>
        </w:rPr>
        <w:t>Galvenie nodokļu konvenciju uzdevumi ir:</w:t>
      </w:r>
    </w:p>
    <w:p w:rsidR="00002229" w:rsidRPr="00002229" w:rsidRDefault="00002229" w:rsidP="00002229">
      <w:pPr>
        <w:pStyle w:val="ListParagraph"/>
        <w:numPr>
          <w:ilvl w:val="0"/>
          <w:numId w:val="2"/>
        </w:numPr>
        <w:rPr>
          <w:rFonts w:ascii="Times New Roman" w:hAnsi="Times New Roman" w:cs="Times New Roman"/>
          <w:sz w:val="32"/>
        </w:rPr>
      </w:pPr>
      <w:r w:rsidRPr="00002229">
        <w:rPr>
          <w:rFonts w:ascii="Times New Roman" w:hAnsi="Times New Roman" w:cs="Times New Roman"/>
          <w:sz w:val="32"/>
        </w:rPr>
        <w:t>Nodokļu dubultās uzlikšanas novēršana.</w:t>
      </w:r>
    </w:p>
    <w:p w:rsidR="00002229" w:rsidRPr="00002229" w:rsidRDefault="00002229" w:rsidP="00002229">
      <w:pPr>
        <w:pStyle w:val="ListParagraph"/>
        <w:numPr>
          <w:ilvl w:val="0"/>
          <w:numId w:val="2"/>
        </w:numPr>
        <w:rPr>
          <w:rFonts w:ascii="Times New Roman" w:hAnsi="Times New Roman" w:cs="Times New Roman"/>
          <w:sz w:val="32"/>
        </w:rPr>
      </w:pPr>
      <w:r w:rsidRPr="00002229">
        <w:rPr>
          <w:rFonts w:ascii="Times New Roman" w:hAnsi="Times New Roman" w:cs="Times New Roman"/>
          <w:sz w:val="32"/>
        </w:rPr>
        <w:t>Nodokļu nemaksāšanas novēršana.</w:t>
      </w:r>
    </w:p>
    <w:p w:rsidR="00002229" w:rsidRPr="00002229" w:rsidRDefault="00002229" w:rsidP="00002229">
      <w:pPr>
        <w:pStyle w:val="ListParagraph"/>
        <w:numPr>
          <w:ilvl w:val="0"/>
          <w:numId w:val="2"/>
        </w:numPr>
        <w:rPr>
          <w:rFonts w:ascii="Times New Roman" w:hAnsi="Times New Roman" w:cs="Times New Roman"/>
          <w:sz w:val="32"/>
        </w:rPr>
      </w:pPr>
      <w:r w:rsidRPr="00002229">
        <w:rPr>
          <w:rFonts w:ascii="Times New Roman" w:hAnsi="Times New Roman" w:cs="Times New Roman"/>
          <w:sz w:val="32"/>
        </w:rPr>
        <w:t>Nodokļu aplikšanas tiesību sadalīšana abām valstīm.</w:t>
      </w:r>
    </w:p>
    <w:p w:rsidR="00002229" w:rsidRPr="00002229" w:rsidRDefault="00002229" w:rsidP="00002229">
      <w:pPr>
        <w:pStyle w:val="ListParagraph"/>
        <w:numPr>
          <w:ilvl w:val="0"/>
          <w:numId w:val="2"/>
        </w:numPr>
        <w:rPr>
          <w:rFonts w:ascii="Times New Roman" w:hAnsi="Times New Roman" w:cs="Times New Roman"/>
          <w:sz w:val="32"/>
        </w:rPr>
      </w:pPr>
      <w:r w:rsidRPr="00002229">
        <w:rPr>
          <w:rFonts w:ascii="Times New Roman" w:hAnsi="Times New Roman" w:cs="Times New Roman"/>
          <w:sz w:val="32"/>
        </w:rPr>
        <w:t>Diskriminācijas nepieļaušana.</w:t>
      </w:r>
    </w:p>
    <w:p w:rsidR="00002229" w:rsidRPr="00002229" w:rsidRDefault="00002229" w:rsidP="00002229">
      <w:pPr>
        <w:rPr>
          <w:rFonts w:ascii="Times New Roman" w:hAnsi="Times New Roman" w:cs="Times New Roman"/>
          <w:sz w:val="32"/>
        </w:rPr>
      </w:pPr>
      <w:r w:rsidRPr="00002229">
        <w:rPr>
          <w:rFonts w:ascii="Times New Roman" w:hAnsi="Times New Roman" w:cs="Times New Roman"/>
          <w:sz w:val="32"/>
        </w:rPr>
        <w:t> </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Izpildot šos uzdevumus, katras valsts nodokļu administrācija apņemas novērst savu valsts rezidentu gūtā ienākuma dubultu aplikšanu ar nodokļiem. Savukārt valsts, kurā pirmās valsts rezidents gūst ienākumu, apņemas veikt šādi gūtā ienākuma aplikšanu ar nodokļiem saskaņā ar Nodokļu konvencijas noteikumiem. Šādā veidā arī tiek iegūta stabilitāte aplikšanā ar nodokļiem konkrētā otrā valstī, jo jebkurā gadījumā aplikšana ar nodokļiem notiks, nepārsniedzot konvencijas noteikumus, neatkarīgi no attiecīgās valsts nodokļu normatīvo aktu grozījumiem.</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 xml:space="preserve">Ienākuma aplikšanai ar nodokļiem nodokļu konvencijas nosaka vispārēju principu: vienas valsts rezidenta ienākumu var aplikt ar nodokļiem tikai tad, ja šis rezidents otrajā valstī izmanto pastāvīgo pārstāvniecību. Pastāvīgās pārstāvniecības definīcija tiek sniegta katrā konvencijā (parasti 5.pants). Atšķirībā no pastāvīgās pārstāvniecības definīcijas Latvijas normatīvajos aktos, definīcija nodokļu konvencijās nosaka virkni izņēmumu, kad netiks uzskatīts, ka otras valsts rezidentam ir pastāvīgā pārstāvniecība, piemēram, nerezidenta veiktie celtniecības darbi saskaņā ar konvenciju noteikumiem netiks uzskatīti par pastāvīgo </w:t>
      </w:r>
      <w:r w:rsidRPr="00002229">
        <w:rPr>
          <w:rFonts w:ascii="Times New Roman" w:hAnsi="Times New Roman" w:cs="Times New Roman"/>
          <w:sz w:val="32"/>
        </w:rPr>
        <w:lastRenderedPageBreak/>
        <w:t>pārstāvniecību, ja to izpildes laiks ir īsāks par 6 mēnešiem (atsevišķās konvencijās - 9 mēnešu laika periods). Netiks arī uzskatīts, ka otras valsts rezidentam ir pastāvīgā pārstāvniecība, ja tiek sniegti konsultatīvie pakalpojumi, kā arī nerezidentiem piederošie preču un izstrādājumu krājumi, kas atrodas Latvijā.</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Vienlaikus nodokļu konvencijas nosaka virkni izņēmumu no iepriekšminētā principa, konkrēti nosakot gadījumus, kad nerezidenta gūtais ienākums var tikt aplikts ar nodokli Latvijā pat tad, ja nerezidents neizmanto pastāvīgo pārstāvniecību Latvijā. Praksē tas nozīmē, ka Latvija drīkst aplikt ar nodokļiem ienākumu no nekustamā īpašuma (parasti 6.pants). Pēc Konvenciju 10. (dividendes), 11. (procenti) un 12. (parasti autoratlīdzība) panta, valstīm nodokļi ierobežotā apjomā tiek ieturēti Latvijā. Likmes jāskatās konkrētā konvencijas pantā, kā arī, protams, konkrēti analizējot katru darījumu pēc dokumentārā noformējuma.</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Pēc šī paša principa Latvijā var aplikt ar nodokļiem kapitāla pieaugumu (ienākumu no īpašuma pārdošanas) (parasti 13.pants), ienākumus no neatkarīgiem individuāliem pakalpojumiem (parasti 14.pants), atkarīgiem individuāliem pakalpojumiem (darba algas) (parasti 15.pants), direktoru atalgojumu (parasti 16.pants), mākslinieku un sportistu ienākumus (parasti 17.pants), pensijas (parasti 18.pants), valdības dienestā nodarbināto ienākumu (parasti 19.pants).</w:t>
      </w:r>
    </w:p>
    <w:p w:rsidR="00002229" w:rsidRPr="00002229" w:rsidRDefault="00002229" w:rsidP="00002229">
      <w:pPr>
        <w:rPr>
          <w:rFonts w:ascii="Times New Roman" w:hAnsi="Times New Roman" w:cs="Times New Roman"/>
          <w:sz w:val="32"/>
        </w:rPr>
      </w:pPr>
      <w:r w:rsidRPr="00002229">
        <w:rPr>
          <w:rFonts w:ascii="Times New Roman" w:hAnsi="Times New Roman" w:cs="Times New Roman"/>
          <w:sz w:val="32"/>
        </w:rPr>
        <w:t> </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Kā izņēmums nodokļu konvenciju slēgšanas praksē uzskatāma konvencija ar Lietuvu, piemēram:</w:t>
      </w:r>
    </w:p>
    <w:p w:rsidR="00002229" w:rsidRDefault="00002229" w:rsidP="00002229">
      <w:pPr>
        <w:pStyle w:val="ListParagraph"/>
        <w:numPr>
          <w:ilvl w:val="0"/>
          <w:numId w:val="3"/>
        </w:numPr>
        <w:jc w:val="both"/>
        <w:rPr>
          <w:rFonts w:ascii="Times New Roman" w:hAnsi="Times New Roman" w:cs="Times New Roman"/>
          <w:sz w:val="32"/>
        </w:rPr>
      </w:pPr>
      <w:r w:rsidRPr="00002229">
        <w:rPr>
          <w:rFonts w:ascii="Times New Roman" w:hAnsi="Times New Roman" w:cs="Times New Roman"/>
          <w:sz w:val="32"/>
        </w:rPr>
        <w:t>dividendes, ko uzņēmums - Latvijas rezidents - izmaksā Lietuvas rezidentam, tiks apliktas ar nodokļiem tikai šajā valstī;</w:t>
      </w:r>
    </w:p>
    <w:p w:rsidR="00002229" w:rsidRDefault="00002229" w:rsidP="00002229">
      <w:pPr>
        <w:pStyle w:val="ListParagraph"/>
        <w:numPr>
          <w:ilvl w:val="0"/>
          <w:numId w:val="3"/>
        </w:numPr>
        <w:jc w:val="both"/>
        <w:rPr>
          <w:rFonts w:ascii="Times New Roman" w:hAnsi="Times New Roman" w:cs="Times New Roman"/>
          <w:sz w:val="32"/>
        </w:rPr>
      </w:pPr>
      <w:r w:rsidRPr="00002229">
        <w:rPr>
          <w:rFonts w:ascii="Times New Roman" w:hAnsi="Times New Roman" w:cs="Times New Roman"/>
          <w:sz w:val="32"/>
        </w:rPr>
        <w:t>procentus (parasti 11.pants). Arī šajā gadījumā, ja procentus Latvijas rezidents izmaksā Lietuvas rezidentam, tie netiks aplikti ar nodokļiem Latvijā;</w:t>
      </w:r>
    </w:p>
    <w:p w:rsidR="00002229" w:rsidRPr="00002229" w:rsidRDefault="00002229" w:rsidP="00002229">
      <w:pPr>
        <w:pStyle w:val="ListParagraph"/>
        <w:numPr>
          <w:ilvl w:val="0"/>
          <w:numId w:val="3"/>
        </w:numPr>
        <w:jc w:val="both"/>
        <w:rPr>
          <w:rFonts w:ascii="Times New Roman" w:hAnsi="Times New Roman" w:cs="Times New Roman"/>
          <w:sz w:val="32"/>
        </w:rPr>
      </w:pPr>
      <w:r w:rsidRPr="00002229">
        <w:rPr>
          <w:rFonts w:ascii="Times New Roman" w:hAnsi="Times New Roman" w:cs="Times New Roman"/>
          <w:sz w:val="32"/>
        </w:rPr>
        <w:lastRenderedPageBreak/>
        <w:t>autoratlīdzības (parasti 12.pants). Šeit ir identiski noteikumi kā ar procentiem, tie netiks aplikti Latvijā, bet Lietuvā.</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br/>
        <w:t>Lai noskaidrotu šo nodokļu konvenciju ietekmi uz nodokļu ieturēšanu no maksājumiem, kuru saņēmēji ir minēto līgumslēdzēju valstu (ar kurām noslēgtas konvencijas) rezidenti, ir jāsalīdzina likuma "Par uzņēmumu i</w:t>
      </w:r>
      <w:r>
        <w:rPr>
          <w:rFonts w:ascii="Times New Roman" w:hAnsi="Times New Roman" w:cs="Times New Roman"/>
          <w:sz w:val="32"/>
        </w:rPr>
        <w:t>enākuma nodokli" 3.panta 4.daļā noteiktās nodokļu </w:t>
      </w:r>
      <w:r w:rsidRPr="00002229">
        <w:rPr>
          <w:rFonts w:ascii="Times New Roman" w:hAnsi="Times New Roman" w:cs="Times New Roman"/>
          <w:sz w:val="32"/>
        </w:rPr>
        <w:t>lik</w:t>
      </w:r>
      <w:r>
        <w:rPr>
          <w:rFonts w:ascii="Times New Roman" w:hAnsi="Times New Roman" w:cs="Times New Roman"/>
          <w:sz w:val="32"/>
        </w:rPr>
        <w:t>mes </w:t>
      </w:r>
      <w:r w:rsidRPr="00002229">
        <w:rPr>
          <w:rFonts w:ascii="Times New Roman" w:hAnsi="Times New Roman" w:cs="Times New Roman"/>
          <w:sz w:val="32"/>
        </w:rPr>
        <w:t>ar minētajām nodokļu konvencijās noteiktajām nodokļu likmēm.</w:t>
      </w:r>
      <w:r w:rsidRPr="00002229">
        <w:rPr>
          <w:rFonts w:ascii="Times New Roman" w:hAnsi="Times New Roman" w:cs="Times New Roman"/>
          <w:sz w:val="32"/>
        </w:rPr>
        <w:br/>
      </w:r>
      <w:r w:rsidRPr="00002229">
        <w:rPr>
          <w:rFonts w:ascii="Times New Roman" w:hAnsi="Times New Roman" w:cs="Times New Roman"/>
          <w:sz w:val="32"/>
        </w:rPr>
        <w:br/>
        <w:t>Ja nodokļu konvencijas nosaka likmes, kas ir augstākas par likumā noteiktajām, ir jāpiemēro likumā "Par uzņēmumu ienākuma nodokli" noteiktās likmes, savukārt, ja konvencijā ir noteiktas likmes, kas ir zemākas par likumā noteiktajām, nodokļu konvencijās noteiktās likmes ir jāpiemēro saskaņā ar MK 30.04.2001 noteikumi Nr.178, kas stājās spēkā 2001.gada 1.jūnijā "Kārtība, kādā piemērojami starptautiskajos līgumos par nodokļu dubultās uzlikšanas un nodokļu nemaksāšanas novēršanu noteiktie nodokļu atvieglojumi" noteikto kārtību, aizpildot attiecīgā veida rezidenta apliecību.</w:t>
      </w:r>
      <w:r w:rsidRPr="00002229">
        <w:rPr>
          <w:rFonts w:ascii="Times New Roman" w:hAnsi="Times New Roman" w:cs="Times New Roman"/>
          <w:sz w:val="32"/>
        </w:rPr>
        <w:br/>
      </w:r>
      <w:r w:rsidRPr="00002229">
        <w:rPr>
          <w:rFonts w:ascii="Times New Roman" w:hAnsi="Times New Roman" w:cs="Times New Roman"/>
          <w:sz w:val="32"/>
        </w:rPr>
        <w:br/>
        <w:t>Divpusējās starpvalstu konvencijas par nodokļu dubultās uzlikšanas un nodokļu nemaksāšanas novēršanu attiecībā uz ienākuma un kapitāla nodokļiem, kā tas redzams no nosaukuma, tiek piemērotas tikai attiecībā uz ienākuma un kapitāla, jeb tiešajiem nodokļiem. Latvijā tie ir:</w:t>
      </w:r>
    </w:p>
    <w:p w:rsidR="00002229" w:rsidRDefault="00002229" w:rsidP="00002229">
      <w:pPr>
        <w:pStyle w:val="ListParagraph"/>
        <w:numPr>
          <w:ilvl w:val="0"/>
          <w:numId w:val="4"/>
        </w:numPr>
        <w:jc w:val="both"/>
        <w:rPr>
          <w:rFonts w:ascii="Times New Roman" w:hAnsi="Times New Roman" w:cs="Times New Roman"/>
          <w:sz w:val="32"/>
        </w:rPr>
      </w:pPr>
      <w:r w:rsidRPr="00002229">
        <w:rPr>
          <w:rFonts w:ascii="Times New Roman" w:hAnsi="Times New Roman" w:cs="Times New Roman"/>
          <w:sz w:val="32"/>
        </w:rPr>
        <w:t>Iedzīvotāju ienākuma nodoklis.</w:t>
      </w:r>
    </w:p>
    <w:p w:rsidR="00002229" w:rsidRDefault="00002229" w:rsidP="00002229">
      <w:pPr>
        <w:pStyle w:val="ListParagraph"/>
        <w:numPr>
          <w:ilvl w:val="0"/>
          <w:numId w:val="4"/>
        </w:numPr>
        <w:jc w:val="both"/>
        <w:rPr>
          <w:rFonts w:ascii="Times New Roman" w:hAnsi="Times New Roman" w:cs="Times New Roman"/>
          <w:sz w:val="32"/>
        </w:rPr>
      </w:pPr>
      <w:r w:rsidRPr="00002229">
        <w:rPr>
          <w:rFonts w:ascii="Times New Roman" w:hAnsi="Times New Roman" w:cs="Times New Roman"/>
          <w:sz w:val="32"/>
        </w:rPr>
        <w:t>Uzņēmumu ienākuma nodoklis.</w:t>
      </w:r>
    </w:p>
    <w:p w:rsidR="00002229" w:rsidRPr="00002229" w:rsidRDefault="00002229" w:rsidP="00002229">
      <w:pPr>
        <w:pStyle w:val="ListParagraph"/>
        <w:numPr>
          <w:ilvl w:val="0"/>
          <w:numId w:val="4"/>
        </w:numPr>
        <w:jc w:val="both"/>
        <w:rPr>
          <w:rFonts w:ascii="Times New Roman" w:hAnsi="Times New Roman" w:cs="Times New Roman"/>
          <w:sz w:val="32"/>
        </w:rPr>
      </w:pPr>
      <w:r w:rsidRPr="00002229">
        <w:rPr>
          <w:rFonts w:ascii="Times New Roman" w:hAnsi="Times New Roman" w:cs="Times New Roman"/>
          <w:sz w:val="32"/>
        </w:rPr>
        <w:t>Īpašuma</w:t>
      </w:r>
      <w:r>
        <w:rPr>
          <w:rFonts w:ascii="Times New Roman" w:hAnsi="Times New Roman" w:cs="Times New Roman"/>
          <w:sz w:val="32"/>
        </w:rPr>
        <w:t> </w:t>
      </w:r>
      <w:r w:rsidRPr="00002229">
        <w:rPr>
          <w:rFonts w:ascii="Times New Roman" w:hAnsi="Times New Roman" w:cs="Times New Roman"/>
          <w:sz w:val="32"/>
        </w:rPr>
        <w:t>nodoklis.</w:t>
      </w:r>
      <w:r w:rsidRPr="00002229">
        <w:rPr>
          <w:rFonts w:ascii="Times New Roman" w:hAnsi="Times New Roman" w:cs="Times New Roman"/>
          <w:sz w:val="32"/>
        </w:rPr>
        <w:br/>
        <w:t> </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 xml:space="preserve">Divpusējās konvencijas neregulē jautājumus attiecībā uz aplikšanu ar netiešajiem nodokļiem, piemēram, pievienotās vērtības (apgrozījuma), kā arī akcīzes un muitas nodokļus (izņemot nodokļu konvenciju noteikumus attiecībā uz diskriminācijas nepieļaušanu) - tos regulē tirdzniecības un brīvās </w:t>
      </w:r>
      <w:r w:rsidRPr="00002229">
        <w:rPr>
          <w:rFonts w:ascii="Times New Roman" w:hAnsi="Times New Roman" w:cs="Times New Roman"/>
          <w:sz w:val="32"/>
        </w:rPr>
        <w:lastRenderedPageBreak/>
        <w:t>tirdzniecības līgumi, starptautisko organizāciju izstrādātie daudzpusējie līgumi.</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Nodokļu likumu piemērošanu (sk. likuma "Par nodokļiem un nodevām" 7.pantu) starpvalstu nodokļu konvencijām ir prioritārs raksturs. Parasti nodokļu maksātājs saskaņā ar nodokļu konvencijām var saņemt nodokļu atvieglojumus, un tie ir jāpiemēro.</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 xml:space="preserve">Galvenie nodokļu atvieglojumi: </w:t>
      </w:r>
    </w:p>
    <w:p w:rsidR="00002229" w:rsidRDefault="00002229" w:rsidP="00002229">
      <w:pPr>
        <w:pStyle w:val="ListParagraph"/>
        <w:numPr>
          <w:ilvl w:val="0"/>
          <w:numId w:val="5"/>
        </w:numPr>
        <w:jc w:val="both"/>
        <w:rPr>
          <w:rFonts w:ascii="Times New Roman" w:hAnsi="Times New Roman" w:cs="Times New Roman"/>
          <w:sz w:val="32"/>
        </w:rPr>
      </w:pPr>
      <w:r w:rsidRPr="00002229">
        <w:rPr>
          <w:rFonts w:ascii="Times New Roman" w:hAnsi="Times New Roman" w:cs="Times New Roman"/>
          <w:sz w:val="32"/>
        </w:rPr>
        <w:t>Sašaurinātu definīciju noteikšana.</w:t>
      </w:r>
    </w:p>
    <w:p w:rsidR="00002229" w:rsidRDefault="00002229" w:rsidP="00002229">
      <w:pPr>
        <w:pStyle w:val="ListParagraph"/>
        <w:numPr>
          <w:ilvl w:val="0"/>
          <w:numId w:val="5"/>
        </w:numPr>
        <w:jc w:val="both"/>
        <w:rPr>
          <w:rFonts w:ascii="Times New Roman" w:hAnsi="Times New Roman" w:cs="Times New Roman"/>
          <w:sz w:val="32"/>
        </w:rPr>
      </w:pPr>
      <w:r w:rsidRPr="00002229">
        <w:rPr>
          <w:rFonts w:ascii="Times New Roman" w:hAnsi="Times New Roman" w:cs="Times New Roman"/>
          <w:sz w:val="32"/>
        </w:rPr>
        <w:t>Maksimālo nodokļu likmju noteikšana, pēc kādām nodoklis ieturams ienākuma izcelsmes valstī.</w:t>
      </w:r>
    </w:p>
    <w:p w:rsidR="00002229" w:rsidRPr="00002229" w:rsidRDefault="00002229" w:rsidP="00002229">
      <w:pPr>
        <w:pStyle w:val="ListParagraph"/>
        <w:numPr>
          <w:ilvl w:val="0"/>
          <w:numId w:val="5"/>
        </w:numPr>
        <w:jc w:val="both"/>
        <w:rPr>
          <w:rFonts w:ascii="Times New Roman" w:hAnsi="Times New Roman" w:cs="Times New Roman"/>
          <w:sz w:val="32"/>
        </w:rPr>
      </w:pPr>
      <w:r w:rsidRPr="00002229">
        <w:rPr>
          <w:rFonts w:ascii="Times New Roman" w:hAnsi="Times New Roman" w:cs="Times New Roman"/>
          <w:sz w:val="32"/>
        </w:rPr>
        <w:t>Labvēlīgākās nodokļu dubultās uzlikšanas novēršanas metodes</w:t>
      </w:r>
      <w:r>
        <w:rPr>
          <w:rFonts w:ascii="Times New Roman" w:hAnsi="Times New Roman" w:cs="Times New Roman"/>
          <w:sz w:val="32"/>
        </w:rPr>
        <w:t> </w:t>
      </w:r>
      <w:r w:rsidRPr="00002229">
        <w:rPr>
          <w:rFonts w:ascii="Times New Roman" w:hAnsi="Times New Roman" w:cs="Times New Roman"/>
          <w:sz w:val="32"/>
        </w:rPr>
        <w:t>piemērošana.</w:t>
      </w:r>
      <w:r w:rsidRPr="00002229">
        <w:rPr>
          <w:rFonts w:ascii="Times New Roman" w:hAnsi="Times New Roman" w:cs="Times New Roman"/>
          <w:sz w:val="32"/>
        </w:rPr>
        <w:br/>
        <w:t> </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Konvencijas noteikumu piemērošana galvenokārt izpaužas, nosakot zināmus ierobežojumus līgumslēdzējām valstīm par otras līgumslēdzējas valsts rezidenta ienākuma un kapitāla aplikšanu ar nodokļiem otrajā valstī. Tātad, ja darījumu partneris ir tādas valsts, ar kuru noslēgta Nodokļu konvencija, rezidents, par normatīvajiem aktiem tā aplikšanu ar nodokļiem papildus Latvijas Republikas nodokļu jāpiemēro attiecīgās Nodokļu konvencijas noteikumi.</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Jāievēro, ka konvencijas ierobežo nacionālo likumu piemērošanu nevis to paplašina. Tas nozīmē, ka konvenciju noteikumi nedrīkst uzlikt papildus maksāšanas saistības (</w:t>
      </w:r>
      <w:proofErr w:type="spellStart"/>
      <w:r w:rsidRPr="00002229">
        <w:rPr>
          <w:rFonts w:ascii="Times New Roman" w:hAnsi="Times New Roman" w:cs="Times New Roman"/>
          <w:sz w:val="32"/>
        </w:rPr>
        <w:t>P.dividendēm</w:t>
      </w:r>
      <w:proofErr w:type="spellEnd"/>
      <w:r w:rsidRPr="00002229">
        <w:rPr>
          <w:rFonts w:ascii="Times New Roman" w:hAnsi="Times New Roman" w:cs="Times New Roman"/>
          <w:sz w:val="32"/>
        </w:rPr>
        <w:t xml:space="preserve"> maks.10% - nevis 15% </w:t>
      </w:r>
      <w:proofErr w:type="spellStart"/>
      <w:r w:rsidRPr="00002229">
        <w:rPr>
          <w:rFonts w:ascii="Times New Roman" w:hAnsi="Times New Roman" w:cs="Times New Roman"/>
          <w:sz w:val="32"/>
        </w:rPr>
        <w:t>konv</w:t>
      </w:r>
      <w:proofErr w:type="spellEnd"/>
      <w:r w:rsidRPr="00002229">
        <w:rPr>
          <w:rFonts w:ascii="Times New Roman" w:hAnsi="Times New Roman" w:cs="Times New Roman"/>
          <w:sz w:val="32"/>
        </w:rPr>
        <w:t>.)</w:t>
      </w:r>
    </w:p>
    <w:p w:rsidR="00002229" w:rsidRPr="00002229" w:rsidRDefault="00002229" w:rsidP="00002229">
      <w:pPr>
        <w:jc w:val="both"/>
        <w:rPr>
          <w:rFonts w:ascii="Times New Roman" w:hAnsi="Times New Roman" w:cs="Times New Roman"/>
          <w:sz w:val="32"/>
        </w:rPr>
      </w:pPr>
      <w:r w:rsidRPr="00002229">
        <w:rPr>
          <w:rFonts w:ascii="Times New Roman" w:hAnsi="Times New Roman" w:cs="Times New Roman"/>
          <w:sz w:val="32"/>
        </w:rPr>
        <w:t xml:space="preserve">Jāņem vērā arī Ministru kabineta 2006.gada 4.jūlija noteikumi Nr.556 "Likuma "Par uzņēmumu ienākuma nodokli" normu piemērošanas noteikumi"; Ministru kabineta 2002.gada 27.decembra noteikumi Nr.587 "Nerezidentu pastāvīgo pārstāvniecību apliekamā ienākuma noteikšanas un nodokļa maksāšanas kārtība" un  Ministru kabineta  2001.gada 30.aprīļa noteikumi Nr.178 "Kārtība, kādā piemērojami starptautiskajos </w:t>
      </w:r>
      <w:r w:rsidRPr="00002229">
        <w:rPr>
          <w:rFonts w:ascii="Times New Roman" w:hAnsi="Times New Roman" w:cs="Times New Roman"/>
          <w:sz w:val="32"/>
        </w:rPr>
        <w:lastRenderedPageBreak/>
        <w:t>līgumos par nodokļu dubultās uzlikšanas un nodokļu nemaksāšanas novēršanu noteiktie nodokļu atvieglojumi"."</w:t>
      </w:r>
    </w:p>
    <w:p w:rsidR="003F3C9D" w:rsidRPr="00002229" w:rsidRDefault="003F3C9D" w:rsidP="00002229">
      <w:pPr>
        <w:jc w:val="both"/>
        <w:rPr>
          <w:rFonts w:ascii="Times New Roman" w:hAnsi="Times New Roman" w:cs="Times New Roman"/>
          <w:sz w:val="32"/>
        </w:rPr>
      </w:pPr>
    </w:p>
    <w:sectPr w:rsidR="003F3C9D" w:rsidRPr="00002229" w:rsidSect="0000222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BDF"/>
    <w:multiLevelType w:val="hybridMultilevel"/>
    <w:tmpl w:val="E000D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F44500"/>
    <w:multiLevelType w:val="hybridMultilevel"/>
    <w:tmpl w:val="C38085AC"/>
    <w:lvl w:ilvl="0" w:tplc="44944D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D12F72"/>
    <w:multiLevelType w:val="hybridMultilevel"/>
    <w:tmpl w:val="A9B8A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9A034A"/>
    <w:multiLevelType w:val="multilevel"/>
    <w:tmpl w:val="A6940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9680B"/>
    <w:multiLevelType w:val="hybridMultilevel"/>
    <w:tmpl w:val="5940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29"/>
    <w:rsid w:val="00002229"/>
    <w:rsid w:val="003F3C9D"/>
    <w:rsid w:val="00A03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7AEE"/>
  <w15:chartTrackingRefBased/>
  <w15:docId w15:val="{9DA306D6-9E80-4C48-A241-8939EBF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0022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0022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0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135116">
      <w:bodyDiv w:val="1"/>
      <w:marLeft w:val="0"/>
      <w:marRight w:val="0"/>
      <w:marTop w:val="0"/>
      <w:marBottom w:val="0"/>
      <w:divBdr>
        <w:top w:val="none" w:sz="0" w:space="0" w:color="auto"/>
        <w:left w:val="none" w:sz="0" w:space="0" w:color="auto"/>
        <w:bottom w:val="none" w:sz="0" w:space="0" w:color="auto"/>
        <w:right w:val="none" w:sz="0" w:space="0" w:color="auto"/>
      </w:divBdr>
      <w:divsChild>
        <w:div w:id="126930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4182</Words>
  <Characters>2384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Pakalne</dc:creator>
  <cp:keywords/>
  <dc:description/>
  <cp:lastModifiedBy>Inese Pakalne</cp:lastModifiedBy>
  <cp:revision>2</cp:revision>
  <dcterms:created xsi:type="dcterms:W3CDTF">2016-08-10T13:11:00Z</dcterms:created>
  <dcterms:modified xsi:type="dcterms:W3CDTF">2016-08-10T13:18:00Z</dcterms:modified>
</cp:coreProperties>
</file>