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E150C" w14:textId="39D66FF6" w:rsidR="00C83EE4" w:rsidRDefault="009F10F9" w:rsidP="009F10F9">
      <w:pPr>
        <w:pStyle w:val="NormalWeb"/>
        <w:jc w:val="right"/>
      </w:pPr>
      <w:r w:rsidRPr="00753FE3">
        <w:t xml:space="preserve">Valsts ieņēmumu dienesta </w:t>
      </w:r>
    </w:p>
    <w:p w14:paraId="11476497" w14:textId="700094EC" w:rsidR="009F10F9" w:rsidRPr="00753FE3" w:rsidRDefault="009F10F9" w:rsidP="009F10F9">
      <w:pPr>
        <w:pStyle w:val="NormalWeb"/>
        <w:jc w:val="right"/>
      </w:pPr>
      <w:r w:rsidRPr="00753FE3">
        <w:t>Muitas pārvaldei</w:t>
      </w:r>
    </w:p>
    <w:p w14:paraId="7AEAA03C" w14:textId="77777777" w:rsidR="009F10F9" w:rsidRPr="00753FE3" w:rsidRDefault="009F10F9" w:rsidP="009F10F9">
      <w:pPr>
        <w:spacing w:after="0" w:line="240" w:lineRule="auto"/>
        <w:rPr>
          <w:szCs w:val="24"/>
        </w:rPr>
      </w:pPr>
    </w:p>
    <w:p w14:paraId="16122485" w14:textId="77777777" w:rsidR="009F10F9" w:rsidRPr="00753FE3" w:rsidRDefault="009F10F9" w:rsidP="009F10F9">
      <w:pPr>
        <w:spacing w:after="0" w:line="240" w:lineRule="auto"/>
        <w:rPr>
          <w:szCs w:val="24"/>
        </w:rPr>
      </w:pPr>
    </w:p>
    <w:p w14:paraId="61477AE7" w14:textId="13889110" w:rsidR="00945FC7" w:rsidRPr="00B5184B" w:rsidRDefault="009F10F9" w:rsidP="00753FE3">
      <w:pPr>
        <w:pStyle w:val="NormalWeb"/>
        <w:spacing w:line="276" w:lineRule="auto"/>
        <w:rPr>
          <w:shd w:val="clear" w:color="auto" w:fill="FFFFFF"/>
        </w:rPr>
      </w:pPr>
      <w:bookmarkStart w:id="0" w:name="_Hlk125982857"/>
      <w:r w:rsidRPr="00B5184B">
        <w:t xml:space="preserve">Par </w:t>
      </w:r>
      <w:bookmarkStart w:id="1" w:name="_Hlk125109346"/>
      <w:r w:rsidR="00945FC7" w:rsidRPr="00952F55">
        <w:t>preču, k</w:t>
      </w:r>
      <w:r w:rsidR="00644C22">
        <w:t>o</w:t>
      </w:r>
      <w:r w:rsidR="00945FC7" w:rsidRPr="00952F55">
        <w:t xml:space="preserve"> </w:t>
      </w:r>
      <w:r w:rsidR="00945FC7" w:rsidRPr="00B5184B">
        <w:rPr>
          <w:shd w:val="clear" w:color="auto" w:fill="FFFFFF"/>
        </w:rPr>
        <w:t xml:space="preserve">paredzēts izplatīt vai nodot </w:t>
      </w:r>
    </w:p>
    <w:p w14:paraId="33D5828E" w14:textId="685E6C06" w:rsidR="00945FC7" w:rsidRPr="00B5184B" w:rsidRDefault="00945FC7" w:rsidP="00753FE3">
      <w:pPr>
        <w:pStyle w:val="NormalWeb"/>
        <w:spacing w:line="276" w:lineRule="auto"/>
        <w:rPr>
          <w:shd w:val="clear" w:color="auto" w:fill="FFFFFF"/>
        </w:rPr>
      </w:pPr>
      <w:r w:rsidRPr="00B5184B">
        <w:rPr>
          <w:shd w:val="clear" w:color="auto" w:fill="FFFFFF"/>
        </w:rPr>
        <w:t>bez maksas personām, k</w:t>
      </w:r>
      <w:r w:rsidR="00644C22">
        <w:rPr>
          <w:shd w:val="clear" w:color="auto" w:fill="FFFFFF"/>
        </w:rPr>
        <w:t>uras</w:t>
      </w:r>
      <w:r w:rsidRPr="00B5184B">
        <w:rPr>
          <w:shd w:val="clear" w:color="auto" w:fill="FFFFFF"/>
        </w:rPr>
        <w:t xml:space="preserve"> bēg no kara Ukrainā, </w:t>
      </w:r>
    </w:p>
    <w:p w14:paraId="5634B6BB" w14:textId="35BBD9AF" w:rsidR="00945FC7" w:rsidRPr="00B5184B" w:rsidRDefault="00945FC7" w:rsidP="00753FE3">
      <w:pPr>
        <w:pStyle w:val="NormalWeb"/>
        <w:spacing w:line="276" w:lineRule="auto"/>
        <w:rPr>
          <w:shd w:val="clear" w:color="auto" w:fill="FFFFFF"/>
        </w:rPr>
      </w:pPr>
      <w:r w:rsidRPr="00B5184B">
        <w:rPr>
          <w:shd w:val="clear" w:color="auto" w:fill="FFFFFF"/>
        </w:rPr>
        <w:t>un personām, k</w:t>
      </w:r>
      <w:r w:rsidR="00644C22">
        <w:rPr>
          <w:shd w:val="clear" w:color="auto" w:fill="FFFFFF"/>
        </w:rPr>
        <w:t>urām</w:t>
      </w:r>
      <w:r w:rsidRPr="00B5184B">
        <w:rPr>
          <w:shd w:val="clear" w:color="auto" w:fill="FFFFFF"/>
        </w:rPr>
        <w:t xml:space="preserve"> nepieciešama palīdzība </w:t>
      </w:r>
    </w:p>
    <w:p w14:paraId="4332A411" w14:textId="77777777" w:rsidR="00945FC7" w:rsidRPr="00B5184B" w:rsidRDefault="00945FC7" w:rsidP="00753FE3">
      <w:pPr>
        <w:pStyle w:val="NormalWeb"/>
        <w:spacing w:line="276" w:lineRule="auto"/>
      </w:pPr>
      <w:r w:rsidRPr="00B5184B">
        <w:rPr>
          <w:shd w:val="clear" w:color="auto" w:fill="FFFFFF"/>
        </w:rPr>
        <w:t>Ukrainā</w:t>
      </w:r>
      <w:bookmarkEnd w:id="1"/>
      <w:r w:rsidRPr="00B5184B">
        <w:rPr>
          <w:shd w:val="clear" w:color="auto" w:fill="FFFFFF"/>
        </w:rPr>
        <w:t>,</w:t>
      </w:r>
      <w:r w:rsidR="009F10F9" w:rsidRPr="00B5184B">
        <w:t xml:space="preserve"> ievešanu ar atbrīvojumu </w:t>
      </w:r>
    </w:p>
    <w:p w14:paraId="2173E706" w14:textId="6D9689D5" w:rsidR="009F10F9" w:rsidRPr="00B5184B" w:rsidRDefault="009F10F9" w:rsidP="00753FE3">
      <w:pPr>
        <w:pStyle w:val="NormalWeb"/>
        <w:spacing w:line="276" w:lineRule="auto"/>
      </w:pPr>
      <w:r w:rsidRPr="00B5184B">
        <w:t xml:space="preserve">no muitas maksājumiem </w:t>
      </w:r>
    </w:p>
    <w:bookmarkEnd w:id="0"/>
    <w:p w14:paraId="262C269B" w14:textId="726C2028" w:rsidR="009F10F9" w:rsidRDefault="009F10F9" w:rsidP="00753FE3">
      <w:pPr>
        <w:spacing w:after="0"/>
        <w:rPr>
          <w:szCs w:val="28"/>
        </w:rPr>
      </w:pPr>
    </w:p>
    <w:p w14:paraId="391A89E7" w14:textId="77777777" w:rsidR="00644C22" w:rsidRPr="00B5184B" w:rsidRDefault="00644C22" w:rsidP="00753FE3">
      <w:pPr>
        <w:spacing w:after="0"/>
        <w:rPr>
          <w:szCs w:val="28"/>
        </w:rPr>
      </w:pPr>
    </w:p>
    <w:p w14:paraId="06D1C993" w14:textId="27440A20" w:rsidR="009F10F9" w:rsidRPr="00644C22" w:rsidRDefault="009F10F9" w:rsidP="00753FE3">
      <w:pPr>
        <w:ind w:firstLine="720"/>
        <w:jc w:val="both"/>
        <w:rPr>
          <w:rStyle w:val="phrase"/>
          <w:color w:val="222222"/>
          <w:spacing w:val="3"/>
        </w:rPr>
      </w:pPr>
      <w:r w:rsidRPr="00644C22">
        <w:rPr>
          <w:rStyle w:val="phrase"/>
          <w:color w:val="222222"/>
          <w:spacing w:val="3"/>
        </w:rPr>
        <w:t xml:space="preserve">Saskaņā ar Padomes </w:t>
      </w:r>
      <w:r w:rsidR="00644C22" w:rsidRPr="00644C22">
        <w:rPr>
          <w:rStyle w:val="phrase"/>
          <w:color w:val="222222"/>
          <w:spacing w:val="3"/>
          <w:szCs w:val="24"/>
        </w:rPr>
        <w:t xml:space="preserve">2009.gada 16.novembra </w:t>
      </w:r>
      <w:r w:rsidRPr="00644C22">
        <w:rPr>
          <w:rStyle w:val="phrase"/>
          <w:color w:val="222222"/>
          <w:spacing w:val="3"/>
        </w:rPr>
        <w:t xml:space="preserve">Regulas </w:t>
      </w:r>
      <w:r w:rsidR="00644C22" w:rsidRPr="00644C22">
        <w:rPr>
          <w:rStyle w:val="phrase"/>
          <w:color w:val="222222"/>
          <w:spacing w:val="3"/>
        </w:rPr>
        <w:t xml:space="preserve">(EK) </w:t>
      </w:r>
      <w:r w:rsidRPr="00644C22">
        <w:rPr>
          <w:rStyle w:val="phrase"/>
          <w:color w:val="222222"/>
          <w:spacing w:val="3"/>
        </w:rPr>
        <w:t>Nr.</w:t>
      </w:r>
      <w:r w:rsidR="00DC1823">
        <w:rPr>
          <w:rStyle w:val="phrase"/>
          <w:color w:val="222222"/>
          <w:spacing w:val="3"/>
        </w:rPr>
        <w:t> </w:t>
      </w:r>
      <w:r w:rsidRPr="00644C22">
        <w:rPr>
          <w:rStyle w:val="phrase"/>
          <w:color w:val="222222"/>
          <w:spacing w:val="3"/>
        </w:rPr>
        <w:t>1186/2009, ar kuru izveido Kopienas sistēmu atbrīvojumiem no muitas nodokļiem (Regula Nr.</w:t>
      </w:r>
      <w:r w:rsidR="00DC1823">
        <w:rPr>
          <w:rStyle w:val="phrase"/>
          <w:color w:val="222222"/>
          <w:spacing w:val="3"/>
        </w:rPr>
        <w:t> </w:t>
      </w:r>
      <w:r w:rsidRPr="00644C22">
        <w:rPr>
          <w:rStyle w:val="phrase"/>
          <w:color w:val="222222"/>
          <w:spacing w:val="3"/>
        </w:rPr>
        <w:t>1186/2009), 74.</w:t>
      </w:r>
      <w:r w:rsidR="00C83EE4" w:rsidRPr="00644C22">
        <w:rPr>
          <w:rStyle w:val="phrase"/>
          <w:color w:val="222222"/>
          <w:spacing w:val="3"/>
          <w:szCs w:val="24"/>
        </w:rPr>
        <w:t> </w:t>
      </w:r>
      <w:r w:rsidR="00952F55" w:rsidRPr="00644C22">
        <w:rPr>
          <w:rStyle w:val="phrase"/>
          <w:color w:val="222222"/>
          <w:spacing w:val="3"/>
          <w:szCs w:val="24"/>
        </w:rPr>
        <w:t>pantu</w:t>
      </w:r>
      <w:r w:rsidR="00644C22" w:rsidRPr="00644C22">
        <w:rPr>
          <w:rStyle w:val="phrase"/>
          <w:color w:val="222222"/>
          <w:spacing w:val="3"/>
        </w:rPr>
        <w:t>,</w:t>
      </w:r>
      <w:r w:rsidR="00C83EE4" w:rsidRPr="00B5184B">
        <w:rPr>
          <w:rStyle w:val="phrase"/>
          <w:color w:val="222222"/>
          <w:spacing w:val="3"/>
          <w:szCs w:val="24"/>
        </w:rPr>
        <w:t xml:space="preserve"> </w:t>
      </w:r>
      <w:r w:rsidRPr="00B5184B">
        <w:rPr>
          <w:rStyle w:val="phrase"/>
          <w:color w:val="222222"/>
          <w:spacing w:val="3"/>
          <w:szCs w:val="24"/>
        </w:rPr>
        <w:t>Pievienotās vērtības nodokļa likuma 53.</w:t>
      </w:r>
      <w:r w:rsidR="00C83EE4" w:rsidRPr="00B5184B">
        <w:rPr>
          <w:rStyle w:val="phrase"/>
          <w:color w:val="222222"/>
          <w:spacing w:val="3"/>
          <w:szCs w:val="24"/>
        </w:rPr>
        <w:t> </w:t>
      </w:r>
      <w:r w:rsidRPr="00B5184B">
        <w:rPr>
          <w:rStyle w:val="phrase"/>
          <w:color w:val="222222"/>
          <w:spacing w:val="3"/>
          <w:szCs w:val="24"/>
        </w:rPr>
        <w:t>panta trešo daļu</w:t>
      </w:r>
      <w:r w:rsidR="000745AF" w:rsidRPr="000745AF">
        <w:rPr>
          <w:rStyle w:val="phrase"/>
          <w:color w:val="222222"/>
          <w:spacing w:val="3"/>
          <w:szCs w:val="24"/>
        </w:rPr>
        <w:t xml:space="preserve"> un Komisijas </w:t>
      </w:r>
      <w:r w:rsidR="00E90287" w:rsidRPr="00E90287">
        <w:rPr>
          <w:rStyle w:val="phrase"/>
          <w:color w:val="222222"/>
          <w:spacing w:val="3"/>
          <w:szCs w:val="24"/>
        </w:rPr>
        <w:t xml:space="preserve">2024. gada 4. marta </w:t>
      </w:r>
      <w:hyperlink r:id="rId6" w:history="1">
        <w:r w:rsidR="00E90287" w:rsidRPr="00E90287">
          <w:rPr>
            <w:rStyle w:val="phrase"/>
            <w:color w:val="222222"/>
            <w:spacing w:val="3"/>
            <w:szCs w:val="24"/>
          </w:rPr>
          <w:t>Lēmum</w:t>
        </w:r>
        <w:r w:rsidR="00AA4FDF">
          <w:rPr>
            <w:rStyle w:val="phrase"/>
            <w:color w:val="222222"/>
            <w:spacing w:val="3"/>
            <w:szCs w:val="24"/>
          </w:rPr>
          <w:t>a</w:t>
        </w:r>
        <w:r w:rsidR="00E90287" w:rsidRPr="00E90287">
          <w:rPr>
            <w:rStyle w:val="phrase"/>
            <w:color w:val="222222"/>
            <w:spacing w:val="3"/>
            <w:szCs w:val="24"/>
          </w:rPr>
          <w:t> (ES) 2024/775</w:t>
        </w:r>
      </w:hyperlink>
      <w:r w:rsidR="00E90287">
        <w:rPr>
          <w:rStyle w:val="phrase"/>
          <w:color w:val="222222"/>
          <w:spacing w:val="3"/>
          <w:szCs w:val="24"/>
        </w:rPr>
        <w:t xml:space="preserve"> </w:t>
      </w:r>
      <w:r w:rsidR="000745AF" w:rsidRPr="000745AF">
        <w:rPr>
          <w:rStyle w:val="phrase"/>
          <w:color w:val="222222"/>
          <w:spacing w:val="3"/>
          <w:szCs w:val="24"/>
        </w:rPr>
        <w:t xml:space="preserve">par atbrīvojumu no ievedmuitas nodokļiem un importa PVN, ko piešķir precēm, kuras paredzēts izplatīt vai nodot bez maksas personām, kas </w:t>
      </w:r>
      <w:r w:rsidR="000745AF" w:rsidRPr="00644C22">
        <w:rPr>
          <w:rStyle w:val="phrase"/>
          <w:color w:val="222222"/>
          <w:spacing w:val="3"/>
        </w:rPr>
        <w:t>bēg no Ukrainā īstenotās militārās agresijas, un personām Ukrainā, kurām nepieciešama palīdzība</w:t>
      </w:r>
      <w:r w:rsidRPr="00644C22">
        <w:rPr>
          <w:rStyle w:val="phrase"/>
          <w:color w:val="222222"/>
          <w:spacing w:val="3"/>
        </w:rPr>
        <w:t>,</w:t>
      </w:r>
      <w:r w:rsidR="000745AF" w:rsidRPr="00644C22">
        <w:rPr>
          <w:rStyle w:val="phrase"/>
          <w:color w:val="222222"/>
          <w:spacing w:val="3"/>
        </w:rPr>
        <w:t xml:space="preserve"> 1.</w:t>
      </w:r>
      <w:r w:rsidR="00DC1823">
        <w:rPr>
          <w:rStyle w:val="phrase"/>
          <w:color w:val="222222"/>
          <w:spacing w:val="3"/>
        </w:rPr>
        <w:t> </w:t>
      </w:r>
      <w:r w:rsidR="000745AF" w:rsidRPr="00644C22">
        <w:rPr>
          <w:rStyle w:val="phrase"/>
          <w:color w:val="222222"/>
          <w:spacing w:val="3"/>
        </w:rPr>
        <w:t>pantu,</w:t>
      </w:r>
      <w:r w:rsidRPr="00644C22">
        <w:rPr>
          <w:rStyle w:val="phrase"/>
          <w:color w:val="222222"/>
          <w:spacing w:val="3"/>
        </w:rPr>
        <w:t xml:space="preserve"> lūdzu atļauju ievest </w:t>
      </w:r>
      <w:r w:rsidR="00945FC7" w:rsidRPr="00644C22">
        <w:rPr>
          <w:rStyle w:val="phrase"/>
          <w:color w:val="222222"/>
          <w:spacing w:val="3"/>
        </w:rPr>
        <w:t>preces, k</w:t>
      </w:r>
      <w:r w:rsidR="00644C22" w:rsidRPr="00644C22">
        <w:rPr>
          <w:rStyle w:val="phrase"/>
          <w:color w:val="222222"/>
          <w:spacing w:val="3"/>
        </w:rPr>
        <w:t>o</w:t>
      </w:r>
      <w:r w:rsidR="00945FC7" w:rsidRPr="00644C22">
        <w:rPr>
          <w:rStyle w:val="phrase"/>
          <w:color w:val="222222"/>
          <w:spacing w:val="3"/>
        </w:rPr>
        <w:t xml:space="preserve"> paredzēts izplatīt vai nodot bez maksas personām, k</w:t>
      </w:r>
      <w:r w:rsidR="00644C22" w:rsidRPr="00644C22">
        <w:rPr>
          <w:rStyle w:val="phrase"/>
          <w:color w:val="222222"/>
          <w:spacing w:val="3"/>
        </w:rPr>
        <w:t xml:space="preserve">uras </w:t>
      </w:r>
      <w:r w:rsidR="00945FC7" w:rsidRPr="00644C22">
        <w:rPr>
          <w:rStyle w:val="phrase"/>
          <w:color w:val="222222"/>
          <w:spacing w:val="3"/>
        </w:rPr>
        <w:t>bēg no kara Ukrainā, un personām, k</w:t>
      </w:r>
      <w:r w:rsidR="00644C22" w:rsidRPr="00644C22">
        <w:rPr>
          <w:rStyle w:val="phrase"/>
          <w:color w:val="222222"/>
          <w:spacing w:val="3"/>
        </w:rPr>
        <w:t>urām</w:t>
      </w:r>
      <w:r w:rsidR="00945FC7" w:rsidRPr="00644C22">
        <w:rPr>
          <w:rStyle w:val="phrase"/>
          <w:color w:val="222222"/>
          <w:spacing w:val="3"/>
        </w:rPr>
        <w:t xml:space="preserve"> nepieciešama palīdzība Ukrainā,</w:t>
      </w:r>
      <w:r w:rsidRPr="00644C22">
        <w:rPr>
          <w:rStyle w:val="phrase"/>
          <w:color w:val="222222"/>
          <w:spacing w:val="3"/>
        </w:rPr>
        <w:t xml:space="preserve"> ar atbrīvojumu no muitas maksājumiem.</w:t>
      </w:r>
    </w:p>
    <w:p w14:paraId="392EC7E5" w14:textId="4E4ADF53" w:rsidR="009F10F9" w:rsidRPr="00B5184B" w:rsidRDefault="009F10F9" w:rsidP="00644C22">
      <w:pPr>
        <w:spacing w:after="0"/>
        <w:jc w:val="both"/>
        <w:rPr>
          <w:b/>
          <w:szCs w:val="24"/>
        </w:rPr>
      </w:pPr>
      <w:r w:rsidRPr="00B5184B">
        <w:rPr>
          <w:b/>
          <w:szCs w:val="24"/>
        </w:rPr>
        <w:t>Informācija par preci</w:t>
      </w:r>
      <w:r w:rsidR="00644C22">
        <w:rPr>
          <w:b/>
          <w:szCs w:val="24"/>
        </w:rPr>
        <w:t>:</w:t>
      </w:r>
      <w:r w:rsidRPr="00B5184B">
        <w:rPr>
          <w:b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9F10F9" w:rsidRPr="00B5184B" w14:paraId="0D5748B2" w14:textId="77777777" w:rsidTr="00345A92">
        <w:tc>
          <w:tcPr>
            <w:tcW w:w="2263" w:type="dxa"/>
          </w:tcPr>
          <w:p w14:paraId="52B77E92" w14:textId="2B80E0E7" w:rsidR="009F10F9" w:rsidRPr="00B5184B" w:rsidRDefault="008C409C" w:rsidP="00753FE3">
            <w:pPr>
              <w:spacing w:before="120" w:line="240" w:lineRule="auto"/>
              <w:jc w:val="both"/>
              <w:rPr>
                <w:szCs w:val="24"/>
                <w:shd w:val="clear" w:color="auto" w:fill="FFFFFF"/>
                <w:lang w:val="lv-LV"/>
              </w:rPr>
            </w:pPr>
            <w:proofErr w:type="spellStart"/>
            <w:r>
              <w:rPr>
                <w:szCs w:val="24"/>
                <w:shd w:val="clear" w:color="auto" w:fill="FFFFFF"/>
              </w:rPr>
              <w:t>N</w:t>
            </w:r>
            <w:r w:rsidR="009F10F9" w:rsidRPr="00B5184B">
              <w:rPr>
                <w:szCs w:val="24"/>
                <w:shd w:val="clear" w:color="auto" w:fill="FFFFFF"/>
              </w:rPr>
              <w:t>osaukums</w:t>
            </w:r>
            <w:proofErr w:type="spellEnd"/>
          </w:p>
        </w:tc>
        <w:tc>
          <w:tcPr>
            <w:tcW w:w="6033" w:type="dxa"/>
          </w:tcPr>
          <w:p w14:paraId="647F93D5" w14:textId="2C4BD3DE" w:rsidR="009F10F9" w:rsidRPr="00B5184B" w:rsidRDefault="009F10F9" w:rsidP="00753FE3">
            <w:pPr>
              <w:pStyle w:val="ListParagraph"/>
              <w:widowControl/>
              <w:spacing w:before="120" w:after="0" w:line="240" w:lineRule="auto"/>
              <w:ind w:left="183"/>
              <w:rPr>
                <w:szCs w:val="24"/>
                <w:shd w:val="clear" w:color="auto" w:fill="FFFFFF"/>
                <w:lang w:val="lv-LV"/>
              </w:rPr>
            </w:pPr>
          </w:p>
        </w:tc>
      </w:tr>
      <w:tr w:rsidR="009F10F9" w:rsidRPr="00B5184B" w14:paraId="2ADBE5BF" w14:textId="77777777" w:rsidTr="00345A92">
        <w:tc>
          <w:tcPr>
            <w:tcW w:w="2263" w:type="dxa"/>
          </w:tcPr>
          <w:p w14:paraId="688C80DF" w14:textId="1802F121" w:rsidR="009F10F9" w:rsidRPr="00B5184B" w:rsidRDefault="009F10F9" w:rsidP="00753FE3">
            <w:pPr>
              <w:spacing w:before="120" w:line="240" w:lineRule="auto"/>
              <w:jc w:val="both"/>
              <w:rPr>
                <w:szCs w:val="24"/>
                <w:shd w:val="clear" w:color="auto" w:fill="FFFFFF"/>
                <w:lang w:val="lv-LV"/>
              </w:rPr>
            </w:pPr>
            <w:r w:rsidRPr="00B5184B">
              <w:rPr>
                <w:szCs w:val="24"/>
                <w:shd w:val="clear" w:color="auto" w:fill="FFFFFF"/>
              </w:rPr>
              <w:t xml:space="preserve">KN </w:t>
            </w:r>
            <w:proofErr w:type="gramStart"/>
            <w:r w:rsidR="00600727" w:rsidRPr="00B5184B">
              <w:rPr>
                <w:szCs w:val="24"/>
                <w:shd w:val="clear" w:color="auto" w:fill="FFFFFF"/>
              </w:rPr>
              <w:t>un TARIC</w:t>
            </w:r>
            <w:proofErr w:type="gramEnd"/>
            <w:r w:rsidR="00600727" w:rsidRPr="00B5184B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B5184B">
              <w:rPr>
                <w:szCs w:val="24"/>
                <w:shd w:val="clear" w:color="auto" w:fill="FFFFFF"/>
              </w:rPr>
              <w:t>kods</w:t>
            </w:r>
            <w:proofErr w:type="spellEnd"/>
            <w:r w:rsidRPr="00B5184B">
              <w:rPr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6033" w:type="dxa"/>
          </w:tcPr>
          <w:p w14:paraId="7138CB4B" w14:textId="73B971B3" w:rsidR="009F10F9" w:rsidRPr="00B5184B" w:rsidRDefault="009F10F9" w:rsidP="00753FE3">
            <w:pPr>
              <w:spacing w:before="120" w:line="240" w:lineRule="auto"/>
              <w:ind w:left="183"/>
              <w:rPr>
                <w:szCs w:val="24"/>
                <w:shd w:val="clear" w:color="auto" w:fill="FFFFFF"/>
                <w:lang w:val="lv-LV"/>
              </w:rPr>
            </w:pPr>
          </w:p>
        </w:tc>
      </w:tr>
      <w:tr w:rsidR="009F10F9" w:rsidRPr="00B5184B" w14:paraId="19291469" w14:textId="77777777" w:rsidTr="00345A92">
        <w:tc>
          <w:tcPr>
            <w:tcW w:w="2263" w:type="dxa"/>
          </w:tcPr>
          <w:p w14:paraId="5109A0A2" w14:textId="0A40C28E" w:rsidR="009F10F9" w:rsidRPr="00B5184B" w:rsidRDefault="008C409C" w:rsidP="00753FE3">
            <w:pPr>
              <w:spacing w:before="120" w:line="240" w:lineRule="auto"/>
              <w:jc w:val="both"/>
              <w:rPr>
                <w:szCs w:val="24"/>
                <w:shd w:val="clear" w:color="auto" w:fill="FFFFFF"/>
                <w:lang w:val="lv-LV"/>
              </w:rPr>
            </w:pPr>
            <w:proofErr w:type="spellStart"/>
            <w:r>
              <w:rPr>
                <w:szCs w:val="24"/>
                <w:shd w:val="clear" w:color="auto" w:fill="FFFFFF"/>
              </w:rPr>
              <w:t>D</w:t>
            </w:r>
            <w:r w:rsidR="009F10F9" w:rsidRPr="00B5184B">
              <w:rPr>
                <w:szCs w:val="24"/>
                <w:shd w:val="clear" w:color="auto" w:fill="FFFFFF"/>
              </w:rPr>
              <w:t>audzums</w:t>
            </w:r>
            <w:proofErr w:type="spellEnd"/>
            <w:r w:rsidR="007E6A53">
              <w:rPr>
                <w:szCs w:val="24"/>
                <w:shd w:val="clear" w:color="auto" w:fill="FFFFFF"/>
              </w:rPr>
              <w:t xml:space="preserve"> (kg/</w:t>
            </w:r>
            <w:proofErr w:type="spellStart"/>
            <w:r w:rsidR="007E6A53">
              <w:rPr>
                <w:szCs w:val="24"/>
                <w:shd w:val="clear" w:color="auto" w:fill="FFFFFF"/>
              </w:rPr>
              <w:t>vienību</w:t>
            </w:r>
            <w:proofErr w:type="spellEnd"/>
            <w:r w:rsidR="007E6A53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="007E6A53">
              <w:rPr>
                <w:szCs w:val="24"/>
                <w:shd w:val="clear" w:color="auto" w:fill="FFFFFF"/>
              </w:rPr>
              <w:t>skaits</w:t>
            </w:r>
            <w:proofErr w:type="spellEnd"/>
            <w:r w:rsidR="007E6A53">
              <w:rPr>
                <w:szCs w:val="24"/>
                <w:shd w:val="clear" w:color="auto" w:fill="FFFFFF"/>
              </w:rPr>
              <w:t>)</w:t>
            </w:r>
          </w:p>
        </w:tc>
        <w:tc>
          <w:tcPr>
            <w:tcW w:w="6033" w:type="dxa"/>
          </w:tcPr>
          <w:p w14:paraId="7964554B" w14:textId="740BBE97" w:rsidR="009F10F9" w:rsidRPr="00B5184B" w:rsidRDefault="009F10F9" w:rsidP="00753FE3">
            <w:pPr>
              <w:pStyle w:val="ListParagraph"/>
              <w:widowControl/>
              <w:spacing w:before="120" w:after="0" w:line="240" w:lineRule="auto"/>
              <w:ind w:left="183"/>
              <w:rPr>
                <w:szCs w:val="24"/>
                <w:shd w:val="clear" w:color="auto" w:fill="FFFFFF"/>
                <w:lang w:val="lv-LV"/>
              </w:rPr>
            </w:pPr>
          </w:p>
        </w:tc>
      </w:tr>
      <w:tr w:rsidR="009F10F9" w:rsidRPr="00B5184B" w14:paraId="24E21A91" w14:textId="77777777" w:rsidTr="00345A92">
        <w:tc>
          <w:tcPr>
            <w:tcW w:w="2263" w:type="dxa"/>
          </w:tcPr>
          <w:p w14:paraId="5800C4DA" w14:textId="717483BF" w:rsidR="009F10F9" w:rsidRPr="00B5184B" w:rsidRDefault="008C409C" w:rsidP="00753FE3">
            <w:pPr>
              <w:spacing w:before="120" w:line="240" w:lineRule="auto"/>
              <w:jc w:val="both"/>
              <w:rPr>
                <w:szCs w:val="24"/>
                <w:shd w:val="clear" w:color="auto" w:fill="FFFFFF"/>
                <w:lang w:val="lv-LV"/>
              </w:rPr>
            </w:pPr>
            <w:r>
              <w:rPr>
                <w:szCs w:val="24"/>
                <w:shd w:val="clear" w:color="auto" w:fill="FFFFFF"/>
              </w:rPr>
              <w:t xml:space="preserve">Muitas </w:t>
            </w:r>
            <w:proofErr w:type="spellStart"/>
            <w:r>
              <w:rPr>
                <w:szCs w:val="24"/>
                <w:shd w:val="clear" w:color="auto" w:fill="FFFFFF"/>
              </w:rPr>
              <w:t>v</w:t>
            </w:r>
            <w:r w:rsidR="009F10F9" w:rsidRPr="00B5184B">
              <w:rPr>
                <w:szCs w:val="24"/>
                <w:shd w:val="clear" w:color="auto" w:fill="FFFFFF"/>
              </w:rPr>
              <w:t>ērtība</w:t>
            </w:r>
            <w:proofErr w:type="spellEnd"/>
          </w:p>
        </w:tc>
        <w:tc>
          <w:tcPr>
            <w:tcW w:w="6033" w:type="dxa"/>
          </w:tcPr>
          <w:p w14:paraId="308CCEB1" w14:textId="019BA9FC" w:rsidR="009F10F9" w:rsidRPr="00B5184B" w:rsidRDefault="009F10F9" w:rsidP="00753FE3">
            <w:pPr>
              <w:spacing w:before="120" w:line="240" w:lineRule="auto"/>
              <w:ind w:left="183"/>
              <w:rPr>
                <w:szCs w:val="24"/>
                <w:shd w:val="clear" w:color="auto" w:fill="FFFFFF"/>
                <w:lang w:val="lv-LV"/>
              </w:rPr>
            </w:pPr>
          </w:p>
        </w:tc>
      </w:tr>
      <w:tr w:rsidR="009F10F9" w:rsidRPr="00B5184B" w14:paraId="5ADD1FAF" w14:textId="77777777" w:rsidTr="00345A92">
        <w:tc>
          <w:tcPr>
            <w:tcW w:w="2263" w:type="dxa"/>
          </w:tcPr>
          <w:p w14:paraId="11220458" w14:textId="1DEF1F24" w:rsidR="009F10F9" w:rsidRPr="00B5184B" w:rsidRDefault="008C409C" w:rsidP="00753FE3">
            <w:pPr>
              <w:spacing w:before="120" w:line="240" w:lineRule="auto"/>
              <w:jc w:val="both"/>
              <w:rPr>
                <w:szCs w:val="24"/>
                <w:shd w:val="clear" w:color="auto" w:fill="FFFFFF"/>
                <w:lang w:val="lv-LV"/>
              </w:rPr>
            </w:pPr>
            <w:proofErr w:type="spellStart"/>
            <w:r>
              <w:rPr>
                <w:szCs w:val="24"/>
                <w:shd w:val="clear" w:color="auto" w:fill="FFFFFF"/>
              </w:rPr>
              <w:t>N</w:t>
            </w:r>
            <w:r w:rsidR="009F10F9" w:rsidRPr="00B5184B">
              <w:rPr>
                <w:szCs w:val="24"/>
                <w:shd w:val="clear" w:color="auto" w:fill="FFFFFF"/>
              </w:rPr>
              <w:t>osūtītāja</w:t>
            </w:r>
            <w:proofErr w:type="spellEnd"/>
            <w:r w:rsidR="009F10F9" w:rsidRPr="00B5184B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="009F10F9" w:rsidRPr="00B5184B">
              <w:rPr>
                <w:szCs w:val="24"/>
                <w:shd w:val="clear" w:color="auto" w:fill="FFFFFF"/>
              </w:rPr>
              <w:t>valsts</w:t>
            </w:r>
            <w:proofErr w:type="spellEnd"/>
            <w:r w:rsidR="009F10F9" w:rsidRPr="00B5184B">
              <w:rPr>
                <w:szCs w:val="24"/>
                <w:shd w:val="clear" w:color="auto" w:fill="FFFFFF"/>
              </w:rPr>
              <w:t xml:space="preserve">/ </w:t>
            </w:r>
            <w:proofErr w:type="spellStart"/>
            <w:r w:rsidR="009F10F9" w:rsidRPr="00B5184B">
              <w:rPr>
                <w:szCs w:val="24"/>
                <w:shd w:val="clear" w:color="auto" w:fill="FFFFFF"/>
              </w:rPr>
              <w:t>nosūtītājs</w:t>
            </w:r>
            <w:proofErr w:type="spellEnd"/>
          </w:p>
        </w:tc>
        <w:tc>
          <w:tcPr>
            <w:tcW w:w="6033" w:type="dxa"/>
          </w:tcPr>
          <w:p w14:paraId="610D6B60" w14:textId="4BD4D73A" w:rsidR="009F10F9" w:rsidRPr="00B5184B" w:rsidRDefault="009F10F9" w:rsidP="00753FE3">
            <w:pPr>
              <w:autoSpaceDE w:val="0"/>
              <w:autoSpaceDN w:val="0"/>
              <w:adjustRightInd w:val="0"/>
              <w:spacing w:line="240" w:lineRule="auto"/>
              <w:ind w:left="183"/>
              <w:rPr>
                <w:szCs w:val="24"/>
                <w:shd w:val="clear" w:color="auto" w:fill="FFFFFF"/>
              </w:rPr>
            </w:pPr>
          </w:p>
        </w:tc>
      </w:tr>
      <w:tr w:rsidR="009F10F9" w:rsidRPr="00B5184B" w14:paraId="74C75911" w14:textId="77777777" w:rsidTr="00345A92">
        <w:tc>
          <w:tcPr>
            <w:tcW w:w="2263" w:type="dxa"/>
          </w:tcPr>
          <w:p w14:paraId="7015664C" w14:textId="798A5927" w:rsidR="009F10F9" w:rsidRPr="00B5184B" w:rsidRDefault="008C409C" w:rsidP="00753FE3">
            <w:pPr>
              <w:spacing w:before="120" w:line="240" w:lineRule="auto"/>
              <w:jc w:val="both"/>
              <w:rPr>
                <w:szCs w:val="24"/>
                <w:shd w:val="clear" w:color="auto" w:fill="FFFFFF"/>
                <w:lang w:val="lv-LV"/>
              </w:rPr>
            </w:pPr>
            <w:r>
              <w:rPr>
                <w:szCs w:val="24"/>
                <w:shd w:val="clear" w:color="auto" w:fill="FFFFFF"/>
                <w:lang w:val="lv-LV"/>
              </w:rPr>
              <w:t>P</w:t>
            </w:r>
            <w:r w:rsidR="00945FC7" w:rsidRPr="00A47156">
              <w:rPr>
                <w:szCs w:val="24"/>
                <w:shd w:val="clear" w:color="auto" w:fill="FFFFFF"/>
                <w:lang w:val="lv-LV"/>
              </w:rPr>
              <w:t xml:space="preserve">reču saņēmēja dalībvalsts/ </w:t>
            </w:r>
            <w:r w:rsidR="0065667E" w:rsidRPr="00A47156">
              <w:rPr>
                <w:szCs w:val="24"/>
                <w:shd w:val="clear" w:color="auto" w:fill="FFFFFF"/>
                <w:lang w:val="lv-LV"/>
              </w:rPr>
              <w:t xml:space="preserve">gala </w:t>
            </w:r>
            <w:r w:rsidR="00945FC7" w:rsidRPr="00A47156">
              <w:rPr>
                <w:szCs w:val="24"/>
                <w:shd w:val="clear" w:color="auto" w:fill="FFFFFF"/>
                <w:lang w:val="lv-LV"/>
              </w:rPr>
              <w:t>saņēmējs</w:t>
            </w:r>
          </w:p>
        </w:tc>
        <w:tc>
          <w:tcPr>
            <w:tcW w:w="6033" w:type="dxa"/>
          </w:tcPr>
          <w:p w14:paraId="000256C4" w14:textId="3B454E0C" w:rsidR="009F10F9" w:rsidRPr="00B5184B" w:rsidRDefault="009F10F9" w:rsidP="00753FE3">
            <w:pPr>
              <w:spacing w:before="120" w:line="240" w:lineRule="auto"/>
              <w:ind w:left="183"/>
              <w:jc w:val="both"/>
              <w:rPr>
                <w:szCs w:val="24"/>
                <w:shd w:val="clear" w:color="auto" w:fill="FFFFFF"/>
                <w:lang w:val="lv-LV"/>
              </w:rPr>
            </w:pPr>
          </w:p>
        </w:tc>
      </w:tr>
      <w:tr w:rsidR="009F10F9" w:rsidRPr="00B5184B" w14:paraId="6FFD7DA7" w14:textId="77777777" w:rsidTr="00345A92">
        <w:tc>
          <w:tcPr>
            <w:tcW w:w="2263" w:type="dxa"/>
          </w:tcPr>
          <w:p w14:paraId="1EB0E667" w14:textId="4B8B2C65" w:rsidR="009F10F9" w:rsidRPr="00B5184B" w:rsidRDefault="008C409C" w:rsidP="00753FE3">
            <w:pPr>
              <w:spacing w:before="120" w:line="240" w:lineRule="auto"/>
              <w:jc w:val="both"/>
              <w:rPr>
                <w:szCs w:val="24"/>
                <w:shd w:val="clear" w:color="auto" w:fill="FFFFFF"/>
                <w:lang w:val="lv-LV"/>
              </w:rPr>
            </w:pPr>
            <w:proofErr w:type="spellStart"/>
            <w:r>
              <w:rPr>
                <w:szCs w:val="24"/>
                <w:shd w:val="clear" w:color="auto" w:fill="FFFFFF"/>
              </w:rPr>
              <w:t>P</w:t>
            </w:r>
            <w:r w:rsidR="009F10F9" w:rsidRPr="00B5184B">
              <w:rPr>
                <w:szCs w:val="24"/>
                <w:shd w:val="clear" w:color="auto" w:fill="FFFFFF"/>
              </w:rPr>
              <w:t>aredzētais</w:t>
            </w:r>
            <w:proofErr w:type="spellEnd"/>
            <w:r w:rsidR="009F10F9" w:rsidRPr="00B5184B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="009F10F9" w:rsidRPr="00B5184B">
              <w:rPr>
                <w:szCs w:val="24"/>
                <w:shd w:val="clear" w:color="auto" w:fill="FFFFFF"/>
              </w:rPr>
              <w:t>pielietojums</w:t>
            </w:r>
            <w:proofErr w:type="spellEnd"/>
          </w:p>
        </w:tc>
        <w:tc>
          <w:tcPr>
            <w:tcW w:w="6033" w:type="dxa"/>
          </w:tcPr>
          <w:p w14:paraId="0383BD30" w14:textId="3F51AC21" w:rsidR="009F10F9" w:rsidRPr="00B5184B" w:rsidRDefault="009F10F9" w:rsidP="00753FE3">
            <w:pPr>
              <w:spacing w:before="120" w:line="240" w:lineRule="auto"/>
              <w:ind w:left="183"/>
              <w:jc w:val="both"/>
              <w:rPr>
                <w:szCs w:val="24"/>
                <w:shd w:val="clear" w:color="auto" w:fill="FFFFFF"/>
                <w:lang w:val="lv-LV"/>
              </w:rPr>
            </w:pPr>
          </w:p>
        </w:tc>
      </w:tr>
    </w:tbl>
    <w:p w14:paraId="6F94F966" w14:textId="77777777" w:rsidR="009F10F9" w:rsidRPr="00B5184B" w:rsidRDefault="009F10F9" w:rsidP="00945FC7">
      <w:pPr>
        <w:jc w:val="both"/>
        <w:rPr>
          <w:b/>
          <w:szCs w:val="24"/>
        </w:rPr>
      </w:pPr>
    </w:p>
    <w:p w14:paraId="53908A5C" w14:textId="77777777" w:rsidR="00644C22" w:rsidRDefault="00644C22" w:rsidP="00644C22">
      <w:pPr>
        <w:jc w:val="both"/>
        <w:rPr>
          <w:b/>
          <w:szCs w:val="24"/>
        </w:rPr>
      </w:pPr>
    </w:p>
    <w:p w14:paraId="4130B51E" w14:textId="296645CD" w:rsidR="009F10F9" w:rsidRPr="00B5184B" w:rsidRDefault="009F10F9" w:rsidP="00644C22">
      <w:pPr>
        <w:spacing w:after="0"/>
        <w:jc w:val="both"/>
        <w:rPr>
          <w:b/>
          <w:szCs w:val="24"/>
        </w:rPr>
      </w:pPr>
      <w:r w:rsidRPr="00B5184B">
        <w:rPr>
          <w:b/>
          <w:szCs w:val="24"/>
        </w:rPr>
        <w:lastRenderedPageBreak/>
        <w:t>Par preces importu maksājamie muitas maksājumi*: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2410"/>
        <w:gridCol w:w="2347"/>
      </w:tblGrid>
      <w:tr w:rsidR="009F10F9" w:rsidRPr="00B5184B" w14:paraId="6991DDC4" w14:textId="77777777" w:rsidTr="00A47156">
        <w:tc>
          <w:tcPr>
            <w:tcW w:w="3539" w:type="dxa"/>
            <w:shd w:val="clear" w:color="auto" w:fill="D9D9D9" w:themeFill="background1" w:themeFillShade="D9"/>
          </w:tcPr>
          <w:p w14:paraId="04A10B81" w14:textId="77777777" w:rsidR="009F10F9" w:rsidRPr="00B5184B" w:rsidRDefault="009F10F9" w:rsidP="00644C22">
            <w:pPr>
              <w:spacing w:after="0" w:line="240" w:lineRule="auto"/>
              <w:jc w:val="center"/>
              <w:rPr>
                <w:i/>
                <w:szCs w:val="24"/>
                <w:lang w:val="lv-LV"/>
              </w:rPr>
            </w:pPr>
            <w:proofErr w:type="spellStart"/>
            <w:r w:rsidRPr="00B5184B">
              <w:rPr>
                <w:i/>
                <w:szCs w:val="24"/>
              </w:rPr>
              <w:t>Nodokļa</w:t>
            </w:r>
            <w:proofErr w:type="spellEnd"/>
            <w:r w:rsidRPr="00B5184B">
              <w:rPr>
                <w:i/>
                <w:szCs w:val="24"/>
              </w:rPr>
              <w:t xml:space="preserve"> </w:t>
            </w:r>
            <w:proofErr w:type="spellStart"/>
            <w:r w:rsidRPr="00B5184B">
              <w:rPr>
                <w:i/>
                <w:szCs w:val="24"/>
              </w:rPr>
              <w:t>veids</w:t>
            </w:r>
            <w:proofErr w:type="spellEnd"/>
          </w:p>
        </w:tc>
        <w:tc>
          <w:tcPr>
            <w:tcW w:w="2410" w:type="dxa"/>
            <w:shd w:val="clear" w:color="auto" w:fill="D9D9D9" w:themeFill="background1" w:themeFillShade="D9"/>
          </w:tcPr>
          <w:p w14:paraId="314311E8" w14:textId="320F1919" w:rsidR="009F10F9" w:rsidRPr="00B5184B" w:rsidRDefault="00644C22" w:rsidP="00644C22">
            <w:pPr>
              <w:spacing w:after="0" w:line="240" w:lineRule="auto"/>
              <w:jc w:val="center"/>
              <w:rPr>
                <w:i/>
                <w:szCs w:val="24"/>
                <w:lang w:val="lv-LV"/>
              </w:rPr>
            </w:pPr>
            <w:proofErr w:type="spellStart"/>
            <w:r>
              <w:rPr>
                <w:i/>
                <w:szCs w:val="24"/>
              </w:rPr>
              <w:t>L</w:t>
            </w:r>
            <w:r w:rsidR="009F10F9" w:rsidRPr="00B5184B">
              <w:rPr>
                <w:i/>
                <w:szCs w:val="24"/>
              </w:rPr>
              <w:t>ikme</w:t>
            </w:r>
            <w:proofErr w:type="spellEnd"/>
          </w:p>
        </w:tc>
        <w:tc>
          <w:tcPr>
            <w:tcW w:w="2347" w:type="dxa"/>
            <w:shd w:val="clear" w:color="auto" w:fill="D9D9D9" w:themeFill="background1" w:themeFillShade="D9"/>
          </w:tcPr>
          <w:p w14:paraId="7512B40A" w14:textId="7DE6AD22" w:rsidR="009F10F9" w:rsidRPr="00B5184B" w:rsidRDefault="00644C22" w:rsidP="00644C22">
            <w:pPr>
              <w:spacing w:after="0" w:line="240" w:lineRule="auto"/>
              <w:jc w:val="center"/>
              <w:rPr>
                <w:i/>
                <w:szCs w:val="24"/>
                <w:lang w:val="lv-LV"/>
              </w:rPr>
            </w:pPr>
            <w:r>
              <w:rPr>
                <w:i/>
                <w:szCs w:val="24"/>
              </w:rPr>
              <w:t>S</w:t>
            </w:r>
            <w:r w:rsidR="009F10F9" w:rsidRPr="00B5184B">
              <w:rPr>
                <w:i/>
                <w:szCs w:val="24"/>
              </w:rPr>
              <w:t>umma</w:t>
            </w:r>
          </w:p>
        </w:tc>
      </w:tr>
      <w:tr w:rsidR="009F10F9" w:rsidRPr="00B5184B" w14:paraId="13178D72" w14:textId="77777777" w:rsidTr="00A47156">
        <w:tc>
          <w:tcPr>
            <w:tcW w:w="3539" w:type="dxa"/>
          </w:tcPr>
          <w:p w14:paraId="1BF5850B" w14:textId="4B30882A" w:rsidR="009F10F9" w:rsidRPr="00B5184B" w:rsidRDefault="00C83EE4" w:rsidP="00644C22">
            <w:pPr>
              <w:spacing w:before="120" w:after="0" w:line="240" w:lineRule="auto"/>
              <w:jc w:val="both"/>
              <w:rPr>
                <w:szCs w:val="24"/>
                <w:lang w:val="lv-LV"/>
              </w:rPr>
            </w:pPr>
            <w:proofErr w:type="spellStart"/>
            <w:r w:rsidRPr="00B5184B">
              <w:rPr>
                <w:szCs w:val="24"/>
              </w:rPr>
              <w:t>I</w:t>
            </w:r>
            <w:r w:rsidR="009F10F9" w:rsidRPr="00B5184B">
              <w:rPr>
                <w:szCs w:val="24"/>
              </w:rPr>
              <w:t>evedmuita</w:t>
            </w:r>
            <w:r w:rsidRPr="00B5184B">
              <w:rPr>
                <w:szCs w:val="24"/>
              </w:rPr>
              <w:t>s</w:t>
            </w:r>
            <w:proofErr w:type="spellEnd"/>
            <w:r w:rsidRPr="00B5184B">
              <w:rPr>
                <w:szCs w:val="24"/>
              </w:rPr>
              <w:t xml:space="preserve"> </w:t>
            </w:r>
            <w:proofErr w:type="spellStart"/>
            <w:r w:rsidRPr="00B5184B">
              <w:rPr>
                <w:szCs w:val="24"/>
              </w:rPr>
              <w:t>nodoklis</w:t>
            </w:r>
            <w:proofErr w:type="spellEnd"/>
          </w:p>
        </w:tc>
        <w:tc>
          <w:tcPr>
            <w:tcW w:w="2410" w:type="dxa"/>
          </w:tcPr>
          <w:p w14:paraId="34FDAC7F" w14:textId="3D1F7806" w:rsidR="009F10F9" w:rsidRPr="00B5184B" w:rsidRDefault="009F10F9" w:rsidP="00644C22">
            <w:pPr>
              <w:spacing w:before="120" w:after="0" w:line="240" w:lineRule="auto"/>
              <w:jc w:val="center"/>
              <w:rPr>
                <w:szCs w:val="24"/>
                <w:lang w:val="lv-LV"/>
              </w:rPr>
            </w:pPr>
          </w:p>
        </w:tc>
        <w:tc>
          <w:tcPr>
            <w:tcW w:w="2347" w:type="dxa"/>
          </w:tcPr>
          <w:p w14:paraId="668EE5EC" w14:textId="77777777" w:rsidR="009F10F9" w:rsidRPr="00B5184B" w:rsidRDefault="009F10F9" w:rsidP="00644C22">
            <w:pPr>
              <w:spacing w:before="120" w:after="0" w:line="240" w:lineRule="auto"/>
              <w:jc w:val="both"/>
              <w:rPr>
                <w:szCs w:val="24"/>
                <w:lang w:val="lv-LV"/>
              </w:rPr>
            </w:pPr>
          </w:p>
        </w:tc>
      </w:tr>
      <w:tr w:rsidR="009F10F9" w:rsidRPr="00B5184B" w14:paraId="392B7537" w14:textId="77777777" w:rsidTr="00A47156">
        <w:tc>
          <w:tcPr>
            <w:tcW w:w="3539" w:type="dxa"/>
          </w:tcPr>
          <w:p w14:paraId="0999F874" w14:textId="5E389A5D" w:rsidR="009F10F9" w:rsidRPr="00B5184B" w:rsidRDefault="00600727" w:rsidP="00753FE3">
            <w:pPr>
              <w:spacing w:before="120" w:line="240" w:lineRule="auto"/>
              <w:jc w:val="both"/>
              <w:rPr>
                <w:szCs w:val="24"/>
                <w:lang w:val="lv-LV"/>
              </w:rPr>
            </w:pPr>
            <w:proofErr w:type="spellStart"/>
            <w:r w:rsidRPr="00B5184B">
              <w:rPr>
                <w:szCs w:val="24"/>
              </w:rPr>
              <w:t>P</w:t>
            </w:r>
            <w:r w:rsidR="00C83EE4" w:rsidRPr="00B5184B">
              <w:rPr>
                <w:szCs w:val="24"/>
              </w:rPr>
              <w:t>ievienotās</w:t>
            </w:r>
            <w:proofErr w:type="spellEnd"/>
            <w:r w:rsidR="00C83EE4" w:rsidRPr="00B5184B">
              <w:rPr>
                <w:szCs w:val="24"/>
              </w:rPr>
              <w:t xml:space="preserve"> </w:t>
            </w:r>
            <w:proofErr w:type="spellStart"/>
            <w:r w:rsidR="00C83EE4" w:rsidRPr="00B5184B">
              <w:rPr>
                <w:szCs w:val="24"/>
              </w:rPr>
              <w:t>vērtības</w:t>
            </w:r>
            <w:proofErr w:type="spellEnd"/>
            <w:r w:rsidR="00C83EE4" w:rsidRPr="00B5184B">
              <w:rPr>
                <w:szCs w:val="24"/>
              </w:rPr>
              <w:t xml:space="preserve"> </w:t>
            </w:r>
            <w:proofErr w:type="spellStart"/>
            <w:r w:rsidR="00C83EE4" w:rsidRPr="00B5184B">
              <w:rPr>
                <w:szCs w:val="24"/>
              </w:rPr>
              <w:t>nodoklis</w:t>
            </w:r>
            <w:proofErr w:type="spellEnd"/>
          </w:p>
        </w:tc>
        <w:tc>
          <w:tcPr>
            <w:tcW w:w="2410" w:type="dxa"/>
          </w:tcPr>
          <w:p w14:paraId="72DD29CB" w14:textId="7B4C64AE" w:rsidR="009F10F9" w:rsidRPr="00B5184B" w:rsidRDefault="009F10F9" w:rsidP="00753FE3">
            <w:pPr>
              <w:spacing w:before="120" w:line="240" w:lineRule="auto"/>
              <w:jc w:val="center"/>
              <w:rPr>
                <w:szCs w:val="24"/>
                <w:lang w:val="lv-LV"/>
              </w:rPr>
            </w:pPr>
          </w:p>
        </w:tc>
        <w:tc>
          <w:tcPr>
            <w:tcW w:w="2347" w:type="dxa"/>
          </w:tcPr>
          <w:p w14:paraId="7705EB94" w14:textId="77777777" w:rsidR="009F10F9" w:rsidRPr="00B5184B" w:rsidRDefault="009F10F9" w:rsidP="00753FE3">
            <w:pPr>
              <w:spacing w:before="120" w:line="240" w:lineRule="auto"/>
              <w:jc w:val="both"/>
              <w:rPr>
                <w:szCs w:val="24"/>
                <w:lang w:val="lv-LV"/>
              </w:rPr>
            </w:pPr>
          </w:p>
        </w:tc>
      </w:tr>
    </w:tbl>
    <w:p w14:paraId="533CA0E9" w14:textId="77777777" w:rsidR="009F10F9" w:rsidRPr="00B5184B" w:rsidRDefault="009F10F9" w:rsidP="00644C22">
      <w:pPr>
        <w:jc w:val="both"/>
        <w:rPr>
          <w:szCs w:val="24"/>
        </w:rPr>
      </w:pPr>
      <w:r w:rsidRPr="00B5184B">
        <w:rPr>
          <w:szCs w:val="24"/>
        </w:rPr>
        <w:t>* Iespējams pievienot nodokļu aprēķinu no ITVS</w:t>
      </w:r>
    </w:p>
    <w:p w14:paraId="57F5F3FE" w14:textId="3023B0AB" w:rsidR="009F10F9" w:rsidRPr="00B5184B" w:rsidRDefault="009F10F9" w:rsidP="00644C22">
      <w:pPr>
        <w:spacing w:after="0"/>
        <w:ind w:firstLine="720"/>
        <w:jc w:val="both"/>
        <w:rPr>
          <w:szCs w:val="24"/>
        </w:rPr>
      </w:pPr>
      <w:r w:rsidRPr="00B5184B">
        <w:rPr>
          <w:szCs w:val="24"/>
        </w:rPr>
        <w:t>Apliecinu, ka esmu iepazinies ar Regulas Nr.</w:t>
      </w:r>
      <w:r w:rsidR="00C83EE4" w:rsidRPr="00B5184B">
        <w:rPr>
          <w:szCs w:val="24"/>
        </w:rPr>
        <w:t> </w:t>
      </w:r>
      <w:r w:rsidRPr="00B5184B">
        <w:rPr>
          <w:szCs w:val="24"/>
        </w:rPr>
        <w:t xml:space="preserve">1186/2009 </w:t>
      </w:r>
      <w:r w:rsidR="00952F55" w:rsidRPr="00A47156">
        <w:rPr>
          <w:szCs w:val="24"/>
          <w:lang w:val="en-US"/>
        </w:rPr>
        <w:t xml:space="preserve">74., </w:t>
      </w:r>
      <w:r w:rsidR="00952F55" w:rsidRPr="00952F55">
        <w:rPr>
          <w:szCs w:val="24"/>
        </w:rPr>
        <w:t>75</w:t>
      </w:r>
      <w:r w:rsidR="00952F55" w:rsidRPr="00A47156">
        <w:rPr>
          <w:szCs w:val="24"/>
          <w:lang w:val="en-US"/>
        </w:rPr>
        <w:t>.</w:t>
      </w:r>
      <w:r w:rsidR="00952F55" w:rsidRPr="00952F55">
        <w:rPr>
          <w:szCs w:val="24"/>
        </w:rPr>
        <w:t>, 78</w:t>
      </w:r>
      <w:r w:rsidR="00952F55" w:rsidRPr="00A47156">
        <w:rPr>
          <w:szCs w:val="24"/>
          <w:lang w:val="en-US"/>
        </w:rPr>
        <w:t>.</w:t>
      </w:r>
      <w:r w:rsidR="00952F55" w:rsidRPr="00952F55">
        <w:rPr>
          <w:szCs w:val="24"/>
        </w:rPr>
        <w:t>, 79</w:t>
      </w:r>
      <w:r w:rsidR="00952F55" w:rsidRPr="00A47156">
        <w:rPr>
          <w:szCs w:val="24"/>
          <w:lang w:val="en-US"/>
        </w:rPr>
        <w:t>.</w:t>
      </w:r>
      <w:r w:rsidR="00952F55" w:rsidRPr="00952F55">
        <w:rPr>
          <w:szCs w:val="24"/>
        </w:rPr>
        <w:t xml:space="preserve"> </w:t>
      </w:r>
      <w:proofErr w:type="gramStart"/>
      <w:r w:rsidR="00952F55" w:rsidRPr="00A47156">
        <w:rPr>
          <w:szCs w:val="24"/>
          <w:lang w:val="en-US"/>
        </w:rPr>
        <w:t>un</w:t>
      </w:r>
      <w:r w:rsidR="00952F55" w:rsidRPr="00952F55">
        <w:rPr>
          <w:szCs w:val="24"/>
        </w:rPr>
        <w:t xml:space="preserve"> 80</w:t>
      </w:r>
      <w:proofErr w:type="gramEnd"/>
      <w:r w:rsidR="00952F55" w:rsidRPr="00A47156">
        <w:rPr>
          <w:szCs w:val="24"/>
          <w:lang w:val="en-US"/>
        </w:rPr>
        <w:t>.</w:t>
      </w:r>
      <w:r w:rsidR="00DC1823">
        <w:t> </w:t>
      </w:r>
      <w:proofErr w:type="spellStart"/>
      <w:r w:rsidR="00952F55" w:rsidRPr="00A47156">
        <w:rPr>
          <w:szCs w:val="24"/>
          <w:lang w:val="en-US"/>
        </w:rPr>
        <w:t>panta</w:t>
      </w:r>
      <w:proofErr w:type="spellEnd"/>
      <w:r w:rsidR="00952F55" w:rsidRPr="00952F55">
        <w:rPr>
          <w:szCs w:val="24"/>
        </w:rPr>
        <w:t xml:space="preserve"> </w:t>
      </w:r>
      <w:r w:rsidRPr="00B5184B">
        <w:rPr>
          <w:szCs w:val="24"/>
        </w:rPr>
        <w:t>prasībām un apņemos:</w:t>
      </w:r>
    </w:p>
    <w:p w14:paraId="7F081D99" w14:textId="5F0C80AA" w:rsidR="009F10F9" w:rsidRPr="00B5184B" w:rsidRDefault="00181CF3" w:rsidP="00644C22">
      <w:pPr>
        <w:pStyle w:val="ListParagraph"/>
        <w:widowControl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szCs w:val="24"/>
        </w:rPr>
      </w:pPr>
      <w:r w:rsidRPr="00A47156">
        <w:rPr>
          <w:szCs w:val="24"/>
        </w:rPr>
        <w:t xml:space="preserve">trīs mēnešu laikā pēc </w:t>
      </w:r>
      <w:r w:rsidR="00A47156">
        <w:rPr>
          <w:szCs w:val="24"/>
        </w:rPr>
        <w:t xml:space="preserve">preču izlaišanas brīvā apgrozībā </w:t>
      </w:r>
      <w:r w:rsidRPr="00A47156">
        <w:rPr>
          <w:szCs w:val="24"/>
        </w:rPr>
        <w:t xml:space="preserve">iesniegt </w:t>
      </w:r>
      <w:r w:rsidR="00644C22" w:rsidRPr="00F33FAA">
        <w:rPr>
          <w:szCs w:val="24"/>
        </w:rPr>
        <w:t>V</w:t>
      </w:r>
      <w:r w:rsidR="00644C22">
        <w:rPr>
          <w:szCs w:val="24"/>
        </w:rPr>
        <w:t>alsts ieņēmumu dienesta</w:t>
      </w:r>
      <w:r w:rsidRPr="00A47156">
        <w:rPr>
          <w:szCs w:val="24"/>
        </w:rPr>
        <w:t xml:space="preserve"> Muitas pārvaldē</w:t>
      </w:r>
      <w:r w:rsidR="009F10F9" w:rsidRPr="00B5184B">
        <w:rPr>
          <w:szCs w:val="24"/>
        </w:rPr>
        <w:t xml:space="preserve"> visus nepieciešamos dokumentus, kas apliecina preču uzskaiti un </w:t>
      </w:r>
      <w:r w:rsidRPr="00A47156">
        <w:rPr>
          <w:szCs w:val="24"/>
        </w:rPr>
        <w:t xml:space="preserve">faktisko </w:t>
      </w:r>
      <w:r w:rsidR="009F10F9" w:rsidRPr="00B5184B">
        <w:rPr>
          <w:szCs w:val="24"/>
        </w:rPr>
        <w:t>izmantošanu;</w:t>
      </w:r>
    </w:p>
    <w:p w14:paraId="3BB86235" w14:textId="2953A616" w:rsidR="00F04AA6" w:rsidRPr="00B5184B" w:rsidRDefault="009F10F9" w:rsidP="00644C22">
      <w:pPr>
        <w:pStyle w:val="ListParagraph"/>
        <w:widowControl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szCs w:val="24"/>
        </w:rPr>
      </w:pPr>
      <w:r w:rsidRPr="00952F55">
        <w:rPr>
          <w:szCs w:val="24"/>
        </w:rPr>
        <w:t>samaksāt par preces importu maksājamos muitas maksājumus gadījumā, ja</w:t>
      </w:r>
      <w:r w:rsidR="00B5184B" w:rsidRPr="00A47156">
        <w:rPr>
          <w:szCs w:val="24"/>
        </w:rPr>
        <w:t xml:space="preserve"> </w:t>
      </w:r>
      <w:r w:rsidRPr="00B5184B">
        <w:t>preces netiek izmantotas sākotnēji paredzētajam mērķim un tiek patapinātas, izīrētas vai atsavinātas par atlīdzību vai par brīvu</w:t>
      </w:r>
      <w:r w:rsidR="00644C22">
        <w:t>;</w:t>
      </w:r>
    </w:p>
    <w:p w14:paraId="287AAB6E" w14:textId="71305369" w:rsidR="00F04AA6" w:rsidRPr="00F33FAA" w:rsidRDefault="00F04AA6" w:rsidP="00644C22">
      <w:pPr>
        <w:pStyle w:val="ListParagraph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szCs w:val="28"/>
        </w:rPr>
      </w:pPr>
      <w:r w:rsidRPr="00F33FAA">
        <w:rPr>
          <w:szCs w:val="24"/>
        </w:rPr>
        <w:t>informēt V</w:t>
      </w:r>
      <w:r w:rsidR="008C409C">
        <w:rPr>
          <w:szCs w:val="24"/>
        </w:rPr>
        <w:t>alsts ieņēmumu dienesta</w:t>
      </w:r>
      <w:r w:rsidRPr="00F33FAA">
        <w:rPr>
          <w:szCs w:val="24"/>
        </w:rPr>
        <w:t xml:space="preserve"> Muitas pārvaldi, ja prece</w:t>
      </w:r>
      <w:r w:rsidR="00753FE3" w:rsidRPr="00F33FAA">
        <w:rPr>
          <w:szCs w:val="24"/>
        </w:rPr>
        <w:t>s</w:t>
      </w:r>
      <w:r w:rsidRPr="00F33FAA">
        <w:rPr>
          <w:szCs w:val="24"/>
        </w:rPr>
        <w:t xml:space="preserve"> tiks nosūtīta</w:t>
      </w:r>
      <w:r w:rsidR="00753FE3" w:rsidRPr="00F33FAA">
        <w:rPr>
          <w:szCs w:val="24"/>
        </w:rPr>
        <w:t>s</w:t>
      </w:r>
      <w:r w:rsidRPr="00F33FAA">
        <w:rPr>
          <w:szCs w:val="24"/>
        </w:rPr>
        <w:t xml:space="preserve"> citas dalībvalsts apstiprinātajai labdarības vai filantropiskajai organizācijai vai Ukrainas valsts organizācijām vai citām labdarības vai filantropiskām organizācijām, kuras ir apstiprinājušas Ukrainas kompetentās iestādes, iesniedzot paziņoj</w:t>
      </w:r>
      <w:r w:rsidR="0065667E" w:rsidRPr="00F33FAA">
        <w:rPr>
          <w:szCs w:val="24"/>
        </w:rPr>
        <w:t>u</w:t>
      </w:r>
      <w:r w:rsidRPr="00F33FAA">
        <w:rPr>
          <w:szCs w:val="24"/>
        </w:rPr>
        <w:t>mu pirms preces pārvietošanas.</w:t>
      </w:r>
    </w:p>
    <w:p w14:paraId="61166FB5" w14:textId="77777777" w:rsidR="002C4347" w:rsidRDefault="002C4347"/>
    <w:sectPr w:rsidR="002C43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E32B1"/>
    <w:multiLevelType w:val="hybridMultilevel"/>
    <w:tmpl w:val="1778D016"/>
    <w:lvl w:ilvl="0" w:tplc="819241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65075D"/>
    <w:multiLevelType w:val="hybridMultilevel"/>
    <w:tmpl w:val="7E6ECB2A"/>
    <w:lvl w:ilvl="0" w:tplc="6BFAC1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39749343">
    <w:abstractNumId w:val="1"/>
  </w:num>
  <w:num w:numId="2" w16cid:durableId="1909224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0F9"/>
    <w:rsid w:val="000745AF"/>
    <w:rsid w:val="00181CF3"/>
    <w:rsid w:val="002C4347"/>
    <w:rsid w:val="00481B69"/>
    <w:rsid w:val="004C7276"/>
    <w:rsid w:val="00600727"/>
    <w:rsid w:val="00644C22"/>
    <w:rsid w:val="0065667E"/>
    <w:rsid w:val="00673E94"/>
    <w:rsid w:val="00725B11"/>
    <w:rsid w:val="00753FE3"/>
    <w:rsid w:val="0077435D"/>
    <w:rsid w:val="007E6A53"/>
    <w:rsid w:val="007F605D"/>
    <w:rsid w:val="008C409C"/>
    <w:rsid w:val="00945FC7"/>
    <w:rsid w:val="00952F55"/>
    <w:rsid w:val="009F10F9"/>
    <w:rsid w:val="00A47156"/>
    <w:rsid w:val="00AA4FDF"/>
    <w:rsid w:val="00B5184B"/>
    <w:rsid w:val="00C83EE4"/>
    <w:rsid w:val="00DC1823"/>
    <w:rsid w:val="00E90287"/>
    <w:rsid w:val="00F04AA6"/>
    <w:rsid w:val="00F3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E5B58"/>
  <w15:chartTrackingRefBased/>
  <w15:docId w15:val="{55A62863-EAE9-48CF-BEC0-29D13BF6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0F9"/>
    <w:pPr>
      <w:widowControl w:val="0"/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10F9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9F10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F10F9"/>
    <w:pPr>
      <w:widowControl/>
      <w:spacing w:after="0" w:line="240" w:lineRule="auto"/>
    </w:pPr>
    <w:rPr>
      <w:rFonts w:eastAsiaTheme="minorHAnsi"/>
      <w:szCs w:val="24"/>
      <w:lang w:eastAsia="lv-LV"/>
    </w:rPr>
  </w:style>
  <w:style w:type="character" w:customStyle="1" w:styleId="phrase">
    <w:name w:val="phrase"/>
    <w:basedOn w:val="DefaultParagraphFont"/>
    <w:rsid w:val="009F10F9"/>
  </w:style>
  <w:style w:type="character" w:customStyle="1" w:styleId="word">
    <w:name w:val="word"/>
    <w:basedOn w:val="DefaultParagraphFont"/>
    <w:rsid w:val="009F10F9"/>
  </w:style>
  <w:style w:type="character" w:styleId="CommentReference">
    <w:name w:val="annotation reference"/>
    <w:basedOn w:val="DefaultParagraphFont"/>
    <w:uiPriority w:val="99"/>
    <w:semiHidden/>
    <w:unhideWhenUsed/>
    <w:rsid w:val="004C72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72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7276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72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7276"/>
    <w:rPr>
      <w:rFonts w:ascii="Times New Roman" w:eastAsia="Calibri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9028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E902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ur-lex.europa.eu/legal-content/LV/TXT/?uri=OJ:L_20240077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E3049-763F-4FF4-B0EA-FB82AC845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1455</Words>
  <Characters>830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ieņēmumu dienests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Grišina</dc:creator>
  <cp:keywords/>
  <dc:description/>
  <cp:lastModifiedBy>Marika Salmiņa</cp:lastModifiedBy>
  <cp:revision>5</cp:revision>
  <dcterms:created xsi:type="dcterms:W3CDTF">2024-03-07T06:12:00Z</dcterms:created>
  <dcterms:modified xsi:type="dcterms:W3CDTF">2024-03-07T09:43:00Z</dcterms:modified>
</cp:coreProperties>
</file>