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6F04C2F8"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bookmarkStart w:id="0" w:name="_Hlk151635081"/>
      <w:r w:rsidR="004D451C" w:rsidRPr="004D451C">
        <w:rPr>
          <w:rFonts w:eastAsia="Times New Roman" w:cs="Times New Roman"/>
          <w:b/>
          <w:szCs w:val="24"/>
        </w:rPr>
        <w:t>Civiltiesiskās atbildības apdrošināšana par izņemtās mantas pārvietošanu</w:t>
      </w:r>
      <w:bookmarkEnd w:id="0"/>
      <w:r w:rsidRPr="00326F16">
        <w:rPr>
          <w:rFonts w:eastAsia="Times New Roman" w:cs="Times New Roman"/>
          <w:b/>
          <w:szCs w:val="24"/>
        </w:rPr>
        <w:t>”</w:t>
      </w:r>
    </w:p>
    <w:p w14:paraId="74304135" w14:textId="5DF403D0"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4D451C">
        <w:rPr>
          <w:rFonts w:eastAsia="Times New Roman" w:cs="Times New Roman"/>
          <w:b/>
          <w:szCs w:val="24"/>
        </w:rPr>
        <w:t>3</w:t>
      </w:r>
      <w:r w:rsidR="004D451C" w:rsidRPr="00326F16">
        <w:rPr>
          <w:rFonts w:eastAsia="Times New Roman" w:cs="Times New Roman"/>
          <w:b/>
          <w:szCs w:val="24"/>
        </w:rPr>
        <w:t>/</w:t>
      </w:r>
      <w:r w:rsidR="004D451C">
        <w:rPr>
          <w:rFonts w:eastAsia="Times New Roman" w:cs="Times New Roman"/>
          <w:b/>
          <w:szCs w:val="24"/>
        </w:rPr>
        <w:t>257</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bookmarkStart w:id="1" w:name="_Hlk151635106"/>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55DCE457"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4D451C" w:rsidRPr="004D451C">
        <w:rPr>
          <w:szCs w:val="24"/>
        </w:rPr>
        <w:t>Civiltiesiskās atbildības apdrošināšana par izņemtās mantas pārvietošanu</w:t>
      </w:r>
      <w:r w:rsidRPr="00086A7A">
        <w:rPr>
          <w:szCs w:val="24"/>
        </w:rPr>
        <w:t>”, ID Nr.FM VID 20</w:t>
      </w:r>
      <w:r w:rsidR="008F6E9C" w:rsidRPr="00086A7A">
        <w:rPr>
          <w:szCs w:val="24"/>
        </w:rPr>
        <w:t>2</w:t>
      </w:r>
      <w:r w:rsidR="004D451C">
        <w:rPr>
          <w:szCs w:val="24"/>
        </w:rPr>
        <w:t>3</w:t>
      </w:r>
      <w:r w:rsidR="004D451C" w:rsidRPr="00086A7A">
        <w:rPr>
          <w:szCs w:val="24"/>
        </w:rPr>
        <w:t>/</w:t>
      </w:r>
      <w:r w:rsidR="00CB1089">
        <w:rPr>
          <w:szCs w:val="24"/>
        </w:rPr>
        <w:t>257</w:t>
      </w:r>
      <w:r w:rsidR="004D451C" w:rsidRPr="00086A7A">
        <w:rPr>
          <w:szCs w:val="24"/>
        </w:rPr>
        <w:t xml:space="preserve"> </w:t>
      </w:r>
      <w:r w:rsidRPr="00086A7A">
        <w:rPr>
          <w:szCs w:val="24"/>
        </w:rPr>
        <w:t>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bookmarkEnd w:id="1"/>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3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87"/>
        <w:gridCol w:w="7371"/>
        <w:gridCol w:w="1659"/>
      </w:tblGrid>
      <w:tr w:rsidR="0043101D" w:rsidRPr="00326F16" w14:paraId="592DCC3C" w14:textId="77777777" w:rsidTr="0043101D">
        <w:trPr>
          <w:trHeight w:val="123"/>
          <w:tblHeader/>
        </w:trPr>
        <w:tc>
          <w:tcPr>
            <w:tcW w:w="493"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679"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828"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A94D7E">
        <w:trPr>
          <w:trHeight w:val="234"/>
        </w:trPr>
        <w:tc>
          <w:tcPr>
            <w:tcW w:w="4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507"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07E1C96F"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r w:rsidR="004D451C">
              <w:rPr>
                <w:rFonts w:eastAsia="Times New Roman" w:cs="Times New Roman"/>
                <w:b/>
                <w:bCs/>
                <w:szCs w:val="24"/>
                <w:lang w:eastAsia="lv-LV"/>
              </w:rPr>
              <w:t xml:space="preserve"> (apdrošināšanas veids)</w:t>
            </w:r>
          </w:p>
        </w:tc>
      </w:tr>
      <w:tr w:rsidR="00E86B03" w:rsidRPr="00326F16" w14:paraId="6A978796" w14:textId="77777777" w:rsidTr="00A94D7E">
        <w:trPr>
          <w:trHeight w:val="234"/>
        </w:trPr>
        <w:tc>
          <w:tcPr>
            <w:tcW w:w="493"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E1001A">
            <w:pPr>
              <w:pStyle w:val="ListParagraph"/>
              <w:numPr>
                <w:ilvl w:val="1"/>
                <w:numId w:val="32"/>
              </w:numPr>
              <w:ind w:hanging="578"/>
              <w:rPr>
                <w:rFonts w:eastAsia="Times New Roman" w:cs="Times New Roman"/>
                <w:b/>
                <w:szCs w:val="24"/>
                <w:lang w:eastAsia="lv-LV"/>
              </w:rPr>
            </w:pPr>
          </w:p>
        </w:tc>
        <w:tc>
          <w:tcPr>
            <w:tcW w:w="4507" w:type="pct"/>
            <w:gridSpan w:val="2"/>
            <w:tcBorders>
              <w:top w:val="single" w:sz="4" w:space="0" w:color="auto"/>
              <w:left w:val="single" w:sz="4" w:space="0" w:color="auto"/>
              <w:bottom w:val="single" w:sz="4" w:space="0" w:color="auto"/>
            </w:tcBorders>
          </w:tcPr>
          <w:p w14:paraId="7D777384" w14:textId="26CB86C1" w:rsidR="000D2092" w:rsidRPr="00326F16" w:rsidRDefault="004D451C" w:rsidP="00E1001A">
            <w:pPr>
              <w:ind w:left="135" w:right="145"/>
              <w:jc w:val="both"/>
              <w:rPr>
                <w:rFonts w:eastAsia="Times New Roman" w:cs="Times New Roman"/>
                <w:bCs/>
                <w:szCs w:val="24"/>
                <w:lang w:eastAsia="lv-LV"/>
              </w:rPr>
            </w:pPr>
            <w:r w:rsidRPr="004D451C">
              <w:rPr>
                <w:rFonts w:eastAsia="Times New Roman" w:cs="Times New Roman"/>
                <w:bCs/>
                <w:szCs w:val="24"/>
                <w:lang w:eastAsia="lv-LV"/>
              </w:rPr>
              <w:t xml:space="preserve">Civiltiesiskā atbildība par </w:t>
            </w:r>
            <w:r w:rsidR="0056553A">
              <w:rPr>
                <w:rFonts w:eastAsia="Times New Roman" w:cs="Times New Roman"/>
                <w:bCs/>
                <w:szCs w:val="24"/>
                <w:lang w:eastAsia="lv-LV"/>
              </w:rPr>
              <w:t>l</w:t>
            </w:r>
            <w:r w:rsidRPr="004D451C">
              <w:rPr>
                <w:rFonts w:eastAsia="Times New Roman" w:cs="Times New Roman"/>
                <w:bCs/>
                <w:szCs w:val="24"/>
                <w:lang w:eastAsia="lv-LV"/>
              </w:rPr>
              <w:t>ietisko pierādījumu un arestētās mantas</w:t>
            </w:r>
            <w:r w:rsidR="0056553A">
              <w:rPr>
                <w:rFonts w:eastAsia="Times New Roman" w:cs="Times New Roman"/>
                <w:bCs/>
                <w:szCs w:val="24"/>
                <w:lang w:eastAsia="lv-LV"/>
              </w:rPr>
              <w:t>,</w:t>
            </w:r>
            <w:r w:rsidRPr="004D451C">
              <w:rPr>
                <w:rFonts w:eastAsia="Times New Roman" w:cs="Times New Roman"/>
                <w:bCs/>
                <w:szCs w:val="24"/>
                <w:lang w:eastAsia="lv-LV"/>
              </w:rPr>
              <w:t xml:space="preserve"> un administratīvā pārkāpuma lietā izņemtās mantas (t.sk. transportlīdzekļu, iekārtu, kokmateriālu, pārtikas preču, akcīzes preču u.c. preču)  pārvietošanu/pārvadāšanu, kā arī veicot to iekraušanas/izkraušanas darbus.</w:t>
            </w:r>
          </w:p>
        </w:tc>
      </w:tr>
      <w:tr w:rsidR="00E86B03" w:rsidRPr="00326F16" w14:paraId="4AE631B0" w14:textId="77777777" w:rsidTr="00A94D7E">
        <w:trPr>
          <w:trHeight w:val="234"/>
        </w:trPr>
        <w:tc>
          <w:tcPr>
            <w:tcW w:w="4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507"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6F34AF68" w:rsidR="00E86B03" w:rsidRPr="00005E79" w:rsidRDefault="004D451C" w:rsidP="00E1001A">
            <w:pPr>
              <w:jc w:val="center"/>
              <w:rPr>
                <w:rFonts w:eastAsia="Times New Roman" w:cs="Times New Roman"/>
                <w:b/>
                <w:i/>
                <w:szCs w:val="24"/>
                <w:lang w:eastAsia="lv-LV"/>
              </w:rPr>
            </w:pPr>
            <w:r w:rsidRPr="00552AD2">
              <w:rPr>
                <w:b/>
              </w:rPr>
              <w:t>Apdrošinā</w:t>
            </w:r>
            <w:r>
              <w:rPr>
                <w:b/>
              </w:rPr>
              <w:t>šanas</w:t>
            </w:r>
            <w:r w:rsidRPr="00552AD2">
              <w:rPr>
                <w:b/>
              </w:rPr>
              <w:t xml:space="preserve"> objek</w:t>
            </w:r>
            <w:r>
              <w:rPr>
                <w:b/>
              </w:rPr>
              <w:t>ts</w:t>
            </w:r>
            <w:r w:rsidRPr="00552AD2">
              <w:rPr>
                <w:b/>
              </w:rPr>
              <w:t xml:space="preserve"> un apdrošināšanas periods</w:t>
            </w:r>
          </w:p>
        </w:tc>
      </w:tr>
      <w:tr w:rsidR="0043101D" w:rsidRPr="00326F16" w14:paraId="24FF91FC" w14:textId="77777777" w:rsidTr="0043101D">
        <w:trPr>
          <w:trHeight w:val="310"/>
        </w:trPr>
        <w:tc>
          <w:tcPr>
            <w:tcW w:w="493" w:type="pct"/>
            <w:tcBorders>
              <w:top w:val="single" w:sz="4" w:space="0" w:color="auto"/>
            </w:tcBorders>
            <w:vAlign w:val="center"/>
          </w:tcPr>
          <w:p w14:paraId="7C0D0593" w14:textId="6130F19A" w:rsidR="00240842" w:rsidRPr="00384803" w:rsidRDefault="00240842" w:rsidP="00E1001A">
            <w:pPr>
              <w:pStyle w:val="ListParagraph"/>
              <w:numPr>
                <w:ilvl w:val="1"/>
                <w:numId w:val="32"/>
              </w:numPr>
              <w:ind w:hanging="578"/>
              <w:rPr>
                <w:rFonts w:eastAsia="Times New Roman" w:cs="Times New Roman"/>
                <w:b/>
                <w:szCs w:val="24"/>
                <w:lang w:eastAsia="lv-LV"/>
              </w:rPr>
            </w:pPr>
          </w:p>
        </w:tc>
        <w:tc>
          <w:tcPr>
            <w:tcW w:w="3679" w:type="pct"/>
            <w:tcBorders>
              <w:top w:val="single" w:sz="4" w:space="0" w:color="auto"/>
            </w:tcBorders>
          </w:tcPr>
          <w:p w14:paraId="1A9BD409" w14:textId="4B3065A5" w:rsidR="00240842" w:rsidRPr="00326F16" w:rsidRDefault="004D451C" w:rsidP="00E1001A">
            <w:pPr>
              <w:tabs>
                <w:tab w:val="left" w:pos="1108"/>
              </w:tabs>
              <w:ind w:left="135" w:right="83"/>
              <w:jc w:val="both"/>
              <w:rPr>
                <w:rFonts w:eastAsia="Times New Roman" w:cs="Times New Roman"/>
                <w:szCs w:val="24"/>
                <w:lang w:eastAsia="lv-LV"/>
              </w:rPr>
            </w:pPr>
            <w:r w:rsidRPr="004D451C">
              <w:rPr>
                <w:rFonts w:eastAsia="Times New Roman" w:cs="Times New Roman"/>
                <w:szCs w:val="24"/>
                <w:lang w:eastAsia="lv-LV"/>
              </w:rPr>
              <w:t>Visi Pasūtītāja īpašumā vai lietošanā esoši transportlīdzekļi un mehānismi, kas tiek izmantoti pārvietošanas/pārvadāšanas un iekraušanas/izkraušanas darbos.</w:t>
            </w:r>
          </w:p>
        </w:tc>
        <w:tc>
          <w:tcPr>
            <w:tcW w:w="828" w:type="pct"/>
          </w:tcPr>
          <w:p w14:paraId="67222C04" w14:textId="73A8785C" w:rsidR="00240842" w:rsidRPr="00326F16" w:rsidRDefault="00240842" w:rsidP="006335A4">
            <w:pPr>
              <w:ind w:right="126"/>
              <w:jc w:val="both"/>
              <w:rPr>
                <w:rFonts w:eastAsia="Times New Roman" w:cs="Times New Roman"/>
                <w:szCs w:val="24"/>
                <w:lang w:eastAsia="lv-LV"/>
              </w:rPr>
            </w:pPr>
          </w:p>
        </w:tc>
      </w:tr>
      <w:tr w:rsidR="0043101D" w:rsidRPr="00326F16" w14:paraId="2E6ADBC6" w14:textId="77777777" w:rsidTr="0043101D">
        <w:trPr>
          <w:trHeight w:val="310"/>
        </w:trPr>
        <w:tc>
          <w:tcPr>
            <w:tcW w:w="493" w:type="pct"/>
            <w:tcBorders>
              <w:top w:val="single" w:sz="4" w:space="0" w:color="auto"/>
            </w:tcBorders>
            <w:vAlign w:val="center"/>
          </w:tcPr>
          <w:p w14:paraId="7B904609" w14:textId="2DB19217"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679" w:type="pct"/>
            <w:tcBorders>
              <w:top w:val="single" w:sz="4" w:space="0" w:color="auto"/>
            </w:tcBorders>
          </w:tcPr>
          <w:p w14:paraId="68DBD123" w14:textId="03FA68AE" w:rsidR="008E00BA" w:rsidRPr="00326F16" w:rsidRDefault="004D451C" w:rsidP="00E1001A">
            <w:pPr>
              <w:tabs>
                <w:tab w:val="left" w:pos="1108"/>
              </w:tabs>
              <w:ind w:left="135" w:right="83"/>
              <w:jc w:val="both"/>
              <w:rPr>
                <w:rFonts w:eastAsia="Times New Roman" w:cs="Times New Roman"/>
                <w:szCs w:val="24"/>
                <w:lang w:eastAsia="lv-LV"/>
              </w:rPr>
            </w:pPr>
            <w:r>
              <w:t xml:space="preserve">Polise tiek slēgta uz 1 (vienu) </w:t>
            </w:r>
            <w:r w:rsidRPr="00A94D7E">
              <w:t>gadu</w:t>
            </w:r>
            <w:r w:rsidR="00FF4FCC">
              <w:t>.</w:t>
            </w:r>
          </w:p>
        </w:tc>
        <w:tc>
          <w:tcPr>
            <w:tcW w:w="828" w:type="pct"/>
          </w:tcPr>
          <w:p w14:paraId="53F30DF2" w14:textId="77777777" w:rsidR="008E00BA" w:rsidRPr="00326F16" w:rsidRDefault="008E00BA" w:rsidP="00E1001A">
            <w:pPr>
              <w:ind w:left="148" w:right="126"/>
              <w:jc w:val="both"/>
              <w:rPr>
                <w:rFonts w:eastAsia="Times New Roman" w:cs="Times New Roman"/>
                <w:szCs w:val="24"/>
                <w:lang w:eastAsia="lv-LV"/>
              </w:rPr>
            </w:pPr>
          </w:p>
        </w:tc>
      </w:tr>
      <w:tr w:rsidR="00240842" w:rsidRPr="00326F16" w14:paraId="0F939C17" w14:textId="77777777" w:rsidTr="00A94D7E">
        <w:trPr>
          <w:trHeight w:val="301"/>
        </w:trPr>
        <w:tc>
          <w:tcPr>
            <w:tcW w:w="493" w:type="pct"/>
            <w:tcBorders>
              <w:top w:val="single" w:sz="4" w:space="0" w:color="auto"/>
            </w:tcBorders>
            <w:shd w:val="clear" w:color="auto" w:fill="D9D9D9" w:themeFill="background1" w:themeFillShade="D9"/>
            <w:vAlign w:val="center"/>
          </w:tcPr>
          <w:p w14:paraId="36EC046A" w14:textId="03F21897" w:rsidR="00240842" w:rsidRPr="00326F16" w:rsidRDefault="00240842" w:rsidP="00E1001A">
            <w:pPr>
              <w:pStyle w:val="ListParagraph"/>
              <w:numPr>
                <w:ilvl w:val="0"/>
                <w:numId w:val="32"/>
              </w:numPr>
              <w:ind w:hanging="578"/>
              <w:rPr>
                <w:rFonts w:eastAsia="Times New Roman" w:cs="Times New Roman"/>
                <w:b/>
                <w:szCs w:val="24"/>
                <w:lang w:eastAsia="lv-LV"/>
              </w:rPr>
            </w:pPr>
          </w:p>
        </w:tc>
        <w:tc>
          <w:tcPr>
            <w:tcW w:w="4507" w:type="pct"/>
            <w:gridSpan w:val="2"/>
            <w:tcBorders>
              <w:top w:val="single" w:sz="4" w:space="0" w:color="auto"/>
            </w:tcBorders>
            <w:shd w:val="clear" w:color="auto" w:fill="D9D9D9" w:themeFill="background1" w:themeFillShade="D9"/>
            <w:vAlign w:val="center"/>
          </w:tcPr>
          <w:p w14:paraId="17721B72" w14:textId="0656847F" w:rsidR="00240842" w:rsidRPr="00A47F92" w:rsidRDefault="004602D6" w:rsidP="00E1001A">
            <w:pPr>
              <w:ind w:right="83"/>
              <w:jc w:val="center"/>
              <w:rPr>
                <w:rFonts w:eastAsia="Times New Roman" w:cs="Times New Roman"/>
                <w:i/>
                <w:szCs w:val="24"/>
                <w:lang w:eastAsia="lv-LV"/>
              </w:rPr>
            </w:pPr>
            <w:r w:rsidRPr="00552AD2">
              <w:rPr>
                <w:b/>
              </w:rPr>
              <w:t>Līguma darbības teritorija</w:t>
            </w:r>
          </w:p>
        </w:tc>
      </w:tr>
      <w:tr w:rsidR="0043101D" w:rsidRPr="00326F16" w14:paraId="7B9F2880" w14:textId="77777777" w:rsidTr="0043101D">
        <w:trPr>
          <w:trHeight w:val="310"/>
        </w:trPr>
        <w:tc>
          <w:tcPr>
            <w:tcW w:w="493" w:type="pct"/>
            <w:tcBorders>
              <w:top w:val="single" w:sz="4" w:space="0" w:color="auto"/>
            </w:tcBorders>
            <w:vAlign w:val="center"/>
          </w:tcPr>
          <w:p w14:paraId="2CD7D042" w14:textId="79A60F8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679" w:type="pct"/>
            <w:tcBorders>
              <w:top w:val="single" w:sz="4" w:space="0" w:color="auto"/>
            </w:tcBorders>
          </w:tcPr>
          <w:p w14:paraId="6E5D4CC4" w14:textId="5A0EFA96" w:rsidR="008E00BA" w:rsidRPr="00326F16" w:rsidRDefault="004602D6" w:rsidP="00E1001A">
            <w:pPr>
              <w:tabs>
                <w:tab w:val="left" w:pos="1108"/>
              </w:tabs>
              <w:ind w:left="135" w:right="83"/>
              <w:jc w:val="both"/>
              <w:rPr>
                <w:rFonts w:eastAsia="Times New Roman" w:cs="Times New Roman"/>
                <w:szCs w:val="24"/>
                <w:lang w:eastAsia="lv-LV"/>
              </w:rPr>
            </w:pPr>
            <w:r>
              <w:t xml:space="preserve">Latvijas </w:t>
            </w:r>
            <w:r w:rsidR="00FF4FCC">
              <w:t>R</w:t>
            </w:r>
            <w:r>
              <w:t>epublika</w:t>
            </w:r>
            <w:r w:rsidR="00FF4FCC">
              <w:t>.</w:t>
            </w:r>
          </w:p>
        </w:tc>
        <w:tc>
          <w:tcPr>
            <w:tcW w:w="828" w:type="pct"/>
          </w:tcPr>
          <w:p w14:paraId="0C56DE69" w14:textId="77777777" w:rsidR="008E00BA" w:rsidRPr="00326F16" w:rsidRDefault="008E00BA" w:rsidP="00E1001A">
            <w:pPr>
              <w:ind w:left="148" w:right="126"/>
              <w:jc w:val="both"/>
              <w:rPr>
                <w:rFonts w:eastAsia="Times New Roman" w:cs="Times New Roman"/>
                <w:szCs w:val="24"/>
                <w:lang w:eastAsia="lv-LV"/>
              </w:rPr>
            </w:pPr>
          </w:p>
        </w:tc>
      </w:tr>
      <w:tr w:rsidR="008E00BA" w:rsidRPr="00326F16" w14:paraId="55BB4C9A" w14:textId="77777777" w:rsidTr="00A94D7E">
        <w:trPr>
          <w:trHeight w:val="234"/>
        </w:trPr>
        <w:tc>
          <w:tcPr>
            <w:tcW w:w="4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8E00BA" w:rsidRPr="00326F16" w:rsidRDefault="008E00BA" w:rsidP="00E1001A">
            <w:pPr>
              <w:pStyle w:val="ListParagraph"/>
              <w:numPr>
                <w:ilvl w:val="0"/>
                <w:numId w:val="32"/>
              </w:numPr>
              <w:ind w:hanging="578"/>
              <w:rPr>
                <w:rFonts w:eastAsia="Times New Roman" w:cs="Times New Roman"/>
                <w:b/>
                <w:szCs w:val="24"/>
                <w:lang w:eastAsia="lv-LV"/>
              </w:rPr>
            </w:pPr>
          </w:p>
        </w:tc>
        <w:tc>
          <w:tcPr>
            <w:tcW w:w="4507"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40896741" w:rsidR="008E00BA" w:rsidRPr="00326F16" w:rsidRDefault="00240DC2" w:rsidP="00E1001A">
            <w:pPr>
              <w:jc w:val="center"/>
              <w:rPr>
                <w:rFonts w:cs="Times New Roman"/>
                <w:b/>
                <w:szCs w:val="24"/>
              </w:rPr>
            </w:pPr>
            <w:r>
              <w:rPr>
                <w:rFonts w:cs="Times New Roman"/>
                <w:b/>
                <w:i/>
                <w:szCs w:val="24"/>
              </w:rPr>
              <w:t>Pašrisks</w:t>
            </w:r>
          </w:p>
        </w:tc>
      </w:tr>
      <w:tr w:rsidR="0043101D" w:rsidRPr="00326F16" w14:paraId="6F0C3FE6" w14:textId="77777777" w:rsidTr="0043101D">
        <w:trPr>
          <w:trHeight w:val="310"/>
        </w:trPr>
        <w:tc>
          <w:tcPr>
            <w:tcW w:w="493" w:type="pct"/>
            <w:tcBorders>
              <w:top w:val="single" w:sz="4" w:space="0" w:color="auto"/>
            </w:tcBorders>
            <w:vAlign w:val="center"/>
          </w:tcPr>
          <w:p w14:paraId="0D7693E7" w14:textId="7EA9C2C3"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679" w:type="pct"/>
            <w:tcBorders>
              <w:top w:val="single" w:sz="4" w:space="0" w:color="auto"/>
            </w:tcBorders>
          </w:tcPr>
          <w:p w14:paraId="1914C43C" w14:textId="604A0F4E" w:rsidR="00864BE0" w:rsidRPr="00326F16" w:rsidRDefault="00240DC2" w:rsidP="00E1001A">
            <w:pPr>
              <w:tabs>
                <w:tab w:val="left" w:pos="1108"/>
              </w:tabs>
              <w:ind w:left="135" w:right="83"/>
              <w:jc w:val="both"/>
              <w:rPr>
                <w:rFonts w:eastAsia="Times New Roman" w:cs="Times New Roman"/>
                <w:szCs w:val="24"/>
                <w:lang w:eastAsia="lv-LV"/>
              </w:rPr>
            </w:pPr>
            <w:r w:rsidRPr="00240DC2">
              <w:rPr>
                <w:rFonts w:eastAsia="Times New Roman" w:cs="Times New Roman"/>
                <w:szCs w:val="24"/>
                <w:lang w:eastAsia="lv-LV"/>
              </w:rPr>
              <w:t xml:space="preserve">Pašrisks izņemtās mantas bojājumu, zādzības vai bojāejas gadījumā - 0,00 EUR (nulle </w:t>
            </w:r>
            <w:proofErr w:type="spellStart"/>
            <w:r w:rsidRPr="00240DC2">
              <w:rPr>
                <w:rFonts w:eastAsia="Times New Roman" w:cs="Times New Roman"/>
                <w:szCs w:val="24"/>
                <w:lang w:eastAsia="lv-LV"/>
              </w:rPr>
              <w:t>euro</w:t>
            </w:r>
            <w:proofErr w:type="spellEnd"/>
            <w:r w:rsidRPr="00240DC2">
              <w:rPr>
                <w:rFonts w:eastAsia="Times New Roman" w:cs="Times New Roman"/>
                <w:szCs w:val="24"/>
                <w:lang w:eastAsia="lv-LV"/>
              </w:rPr>
              <w:t xml:space="preserve"> un 00 centi) (bez apdrošināšanas gadījumu ierobežojumiem).</w:t>
            </w:r>
          </w:p>
        </w:tc>
        <w:tc>
          <w:tcPr>
            <w:tcW w:w="828" w:type="pct"/>
          </w:tcPr>
          <w:p w14:paraId="4CB8F7EE" w14:textId="77777777" w:rsidR="00864BE0" w:rsidRPr="00326F16" w:rsidRDefault="00864BE0" w:rsidP="00E1001A">
            <w:pPr>
              <w:ind w:left="148" w:right="126"/>
              <w:jc w:val="both"/>
              <w:rPr>
                <w:rFonts w:eastAsia="Times New Roman" w:cs="Times New Roman"/>
                <w:szCs w:val="24"/>
                <w:lang w:eastAsia="lv-LV"/>
              </w:rPr>
            </w:pPr>
          </w:p>
        </w:tc>
      </w:tr>
      <w:tr w:rsidR="00087D18" w:rsidRPr="00326F16" w14:paraId="0C40C420" w14:textId="77777777" w:rsidTr="00A94D7E">
        <w:trPr>
          <w:trHeight w:val="234"/>
        </w:trPr>
        <w:tc>
          <w:tcPr>
            <w:tcW w:w="4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087D18" w:rsidRPr="00326F16" w:rsidRDefault="00087D18" w:rsidP="00E1001A">
            <w:pPr>
              <w:pStyle w:val="ListParagraph"/>
              <w:numPr>
                <w:ilvl w:val="0"/>
                <w:numId w:val="32"/>
              </w:numPr>
              <w:ind w:hanging="578"/>
              <w:rPr>
                <w:rFonts w:eastAsia="Times New Roman" w:cs="Times New Roman"/>
                <w:b/>
                <w:szCs w:val="24"/>
                <w:lang w:eastAsia="lv-LV"/>
              </w:rPr>
            </w:pPr>
          </w:p>
        </w:tc>
        <w:tc>
          <w:tcPr>
            <w:tcW w:w="4507"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4475E496" w:rsidR="00087D18" w:rsidRPr="00326F16" w:rsidRDefault="00240DC2" w:rsidP="00E1001A">
            <w:pPr>
              <w:jc w:val="center"/>
              <w:rPr>
                <w:rFonts w:cs="Times New Roman"/>
                <w:b/>
                <w:szCs w:val="24"/>
              </w:rPr>
            </w:pPr>
            <w:r w:rsidRPr="00240DC2">
              <w:rPr>
                <w:rFonts w:cs="Times New Roman"/>
                <w:b/>
                <w:i/>
                <w:szCs w:val="24"/>
              </w:rPr>
              <w:t>Papildus nosacījumi</w:t>
            </w:r>
          </w:p>
        </w:tc>
      </w:tr>
      <w:tr w:rsidR="0043101D" w:rsidRPr="00326F16" w14:paraId="4ECDAE00" w14:textId="77777777" w:rsidTr="0043101D">
        <w:trPr>
          <w:trHeight w:val="310"/>
        </w:trPr>
        <w:tc>
          <w:tcPr>
            <w:tcW w:w="493" w:type="pct"/>
            <w:tcBorders>
              <w:top w:val="single" w:sz="4" w:space="0" w:color="auto"/>
            </w:tcBorders>
            <w:vAlign w:val="center"/>
          </w:tcPr>
          <w:p w14:paraId="2BB0C5E9" w14:textId="7E350819" w:rsidR="00240DC2" w:rsidRPr="00384803" w:rsidRDefault="00240DC2" w:rsidP="00240DC2">
            <w:pPr>
              <w:pStyle w:val="ListParagraph"/>
              <w:numPr>
                <w:ilvl w:val="1"/>
                <w:numId w:val="32"/>
              </w:numPr>
              <w:ind w:hanging="578"/>
              <w:rPr>
                <w:rFonts w:eastAsia="Times New Roman" w:cs="Times New Roman"/>
                <w:b/>
                <w:szCs w:val="24"/>
                <w:lang w:eastAsia="lv-LV"/>
              </w:rPr>
            </w:pPr>
          </w:p>
        </w:tc>
        <w:tc>
          <w:tcPr>
            <w:tcW w:w="3679" w:type="pct"/>
            <w:tcBorders>
              <w:top w:val="single" w:sz="4" w:space="0" w:color="auto"/>
            </w:tcBorders>
          </w:tcPr>
          <w:p w14:paraId="37A53DA8" w14:textId="67FBD3B7" w:rsidR="00240DC2" w:rsidRPr="00326F16" w:rsidRDefault="00A94D7E" w:rsidP="00240DC2">
            <w:pPr>
              <w:tabs>
                <w:tab w:val="left" w:pos="1108"/>
              </w:tabs>
              <w:ind w:left="135" w:right="83"/>
              <w:jc w:val="both"/>
              <w:rPr>
                <w:rFonts w:eastAsia="Times New Roman" w:cs="Times New Roman"/>
                <w:szCs w:val="24"/>
                <w:lang w:eastAsia="lv-LV"/>
              </w:rPr>
            </w:pPr>
            <w:r w:rsidRPr="00A94D7E">
              <w:t>Kopējais atbildības limits apdrošināšanas polises darbības laikā noteikts 50 000 EUR apmērā, tai skaitā katram apdrošināšanas gadījumam limits 15 000 EUR.</w:t>
            </w:r>
          </w:p>
        </w:tc>
        <w:tc>
          <w:tcPr>
            <w:tcW w:w="828" w:type="pct"/>
          </w:tcPr>
          <w:p w14:paraId="593B30D8" w14:textId="77777777" w:rsidR="00240DC2" w:rsidRPr="00326F16" w:rsidRDefault="00240DC2" w:rsidP="00240DC2">
            <w:pPr>
              <w:ind w:left="148" w:right="126"/>
              <w:jc w:val="both"/>
              <w:rPr>
                <w:rFonts w:eastAsia="Times New Roman" w:cs="Times New Roman"/>
                <w:szCs w:val="24"/>
                <w:lang w:eastAsia="lv-LV"/>
              </w:rPr>
            </w:pPr>
          </w:p>
        </w:tc>
      </w:tr>
      <w:tr w:rsidR="0043101D" w:rsidRPr="00326F16" w14:paraId="4612703D" w14:textId="77777777" w:rsidTr="0043101D">
        <w:trPr>
          <w:trHeight w:val="310"/>
        </w:trPr>
        <w:tc>
          <w:tcPr>
            <w:tcW w:w="493" w:type="pct"/>
            <w:tcBorders>
              <w:top w:val="single" w:sz="4" w:space="0" w:color="auto"/>
            </w:tcBorders>
            <w:vAlign w:val="center"/>
          </w:tcPr>
          <w:p w14:paraId="4399268B" w14:textId="4674C15E" w:rsidR="00240DC2" w:rsidRPr="00384803" w:rsidRDefault="00240DC2" w:rsidP="00240DC2">
            <w:pPr>
              <w:pStyle w:val="ListParagraph"/>
              <w:numPr>
                <w:ilvl w:val="1"/>
                <w:numId w:val="32"/>
              </w:numPr>
              <w:ind w:hanging="578"/>
              <w:rPr>
                <w:rFonts w:eastAsia="Times New Roman" w:cs="Times New Roman"/>
                <w:b/>
                <w:szCs w:val="24"/>
                <w:lang w:eastAsia="lv-LV"/>
              </w:rPr>
            </w:pPr>
          </w:p>
        </w:tc>
        <w:tc>
          <w:tcPr>
            <w:tcW w:w="3679" w:type="pct"/>
            <w:tcBorders>
              <w:top w:val="single" w:sz="4" w:space="0" w:color="auto"/>
            </w:tcBorders>
          </w:tcPr>
          <w:p w14:paraId="65687597" w14:textId="4C304776" w:rsidR="00240DC2" w:rsidRPr="00326F16" w:rsidRDefault="00240DC2" w:rsidP="00240DC2">
            <w:pPr>
              <w:tabs>
                <w:tab w:val="left" w:pos="1108"/>
              </w:tabs>
              <w:ind w:left="135" w:right="83"/>
              <w:jc w:val="both"/>
              <w:rPr>
                <w:rFonts w:eastAsia="Times New Roman" w:cs="Times New Roman"/>
                <w:szCs w:val="24"/>
                <w:lang w:eastAsia="lv-LV"/>
              </w:rPr>
            </w:pPr>
            <w:r>
              <w:t xml:space="preserve">Apdrošināta tiek arī </w:t>
            </w:r>
            <w:r w:rsidRPr="00D345A6">
              <w:t>Pasūtītāja civiltiesiskā atbildība par trešās personas kustamajai mantai nodarītajiem zaudējumiem to pārvietojot/pārvadājot un civiltiesiskā atbildība veicot trešās personas kustamās mantas iekraušanas/izkraušanas darbus, kas rodas Pasūtītāja darbinieku vai pārstāvju darbības vai bezdarbība rezultātā, neievērojot normatīvo aktu, standartu, noteikumu, tehnisko noteikumu, instrukciju un citu dokumentu nosacījumus. Tiek atlīdzināti arī juridiskie izdevumi un izdevumi par ekspertīzēm</w:t>
            </w:r>
            <w:r w:rsidR="00363A58">
              <w:t xml:space="preserve"> </w:t>
            </w:r>
            <w:r w:rsidR="00363A58" w:rsidRPr="00A94D7E">
              <w:t xml:space="preserve"> </w:t>
            </w:r>
            <w:r w:rsidR="00363A58">
              <w:t>k</w:t>
            </w:r>
            <w:r w:rsidR="00363A58" w:rsidRPr="00A94D7E">
              <w:t>opēj</w:t>
            </w:r>
            <w:r w:rsidR="00363A58">
              <w:t>ā</w:t>
            </w:r>
            <w:r w:rsidR="00363A58" w:rsidRPr="00A94D7E">
              <w:t xml:space="preserve"> </w:t>
            </w:r>
            <w:r w:rsidR="00363A58">
              <w:t xml:space="preserve">apdrošināšanas polises </w:t>
            </w:r>
            <w:r w:rsidR="00363A58" w:rsidRPr="00A94D7E">
              <w:t>atbildības limit</w:t>
            </w:r>
            <w:r w:rsidR="00363A58">
              <w:t>a ietvaros.</w:t>
            </w:r>
          </w:p>
        </w:tc>
        <w:tc>
          <w:tcPr>
            <w:tcW w:w="828" w:type="pct"/>
          </w:tcPr>
          <w:p w14:paraId="73740C8D" w14:textId="77777777" w:rsidR="00240DC2" w:rsidRPr="00326F16" w:rsidRDefault="00240DC2" w:rsidP="00240DC2">
            <w:pPr>
              <w:ind w:left="148" w:right="126"/>
              <w:jc w:val="both"/>
              <w:rPr>
                <w:rFonts w:eastAsia="Times New Roman" w:cs="Times New Roman"/>
                <w:szCs w:val="24"/>
                <w:lang w:eastAsia="lv-LV"/>
              </w:rPr>
            </w:pPr>
          </w:p>
        </w:tc>
      </w:tr>
      <w:tr w:rsidR="0043101D" w:rsidRPr="00326F16" w14:paraId="56BBCEF2" w14:textId="77777777" w:rsidTr="0043101D">
        <w:trPr>
          <w:trHeight w:val="310"/>
        </w:trPr>
        <w:tc>
          <w:tcPr>
            <w:tcW w:w="493" w:type="pct"/>
            <w:tcBorders>
              <w:top w:val="single" w:sz="4" w:space="0" w:color="auto"/>
            </w:tcBorders>
            <w:vAlign w:val="center"/>
          </w:tcPr>
          <w:p w14:paraId="4C68A71B" w14:textId="217FFF60" w:rsidR="00240DC2" w:rsidRPr="00384803" w:rsidRDefault="00240DC2" w:rsidP="00240DC2">
            <w:pPr>
              <w:pStyle w:val="ListParagraph"/>
              <w:numPr>
                <w:ilvl w:val="1"/>
                <w:numId w:val="32"/>
              </w:numPr>
              <w:ind w:hanging="578"/>
              <w:rPr>
                <w:rFonts w:eastAsia="Times New Roman" w:cs="Times New Roman"/>
                <w:b/>
                <w:szCs w:val="24"/>
                <w:lang w:eastAsia="lv-LV"/>
              </w:rPr>
            </w:pPr>
          </w:p>
        </w:tc>
        <w:tc>
          <w:tcPr>
            <w:tcW w:w="3679" w:type="pct"/>
          </w:tcPr>
          <w:p w14:paraId="65DF9391" w14:textId="1BF638DE" w:rsidR="00240DC2" w:rsidRPr="00326F16" w:rsidRDefault="00240DC2" w:rsidP="00240DC2">
            <w:pPr>
              <w:tabs>
                <w:tab w:val="left" w:pos="1108"/>
              </w:tabs>
              <w:ind w:left="135" w:right="83"/>
              <w:jc w:val="both"/>
              <w:rPr>
                <w:rFonts w:eastAsia="Times New Roman" w:cs="Times New Roman"/>
                <w:szCs w:val="24"/>
                <w:lang w:eastAsia="lv-LV"/>
              </w:rPr>
            </w:pPr>
            <w:r w:rsidRPr="0075642B">
              <w:t>Jānodrošina, lai Pasūtītājs informāciju par notikušajiem negadījumiem var pieteikt elektroniskā formā (e-pasts),</w:t>
            </w:r>
            <w:r w:rsidR="00FF4FCC">
              <w:t xml:space="preserve"> Apdrošinātāja tīmekļa vietnē,</w:t>
            </w:r>
            <w:r w:rsidRPr="0075642B">
              <w:t xml:space="preserve"> pa telefonu vai arī </w:t>
            </w:r>
            <w:r>
              <w:t>Apdrošinātāja</w:t>
            </w:r>
            <w:r w:rsidRPr="0075642B">
              <w:t xml:space="preserve"> jebkurā filiālē Latvijas teritorijā</w:t>
            </w:r>
            <w:r>
              <w:t>.</w:t>
            </w:r>
          </w:p>
        </w:tc>
        <w:tc>
          <w:tcPr>
            <w:tcW w:w="828" w:type="pct"/>
          </w:tcPr>
          <w:p w14:paraId="4D2D1CEF" w14:textId="77777777" w:rsidR="00240DC2" w:rsidRPr="00326F16" w:rsidRDefault="00240DC2" w:rsidP="00240DC2">
            <w:pPr>
              <w:ind w:left="148" w:right="126"/>
              <w:jc w:val="both"/>
              <w:rPr>
                <w:rFonts w:eastAsia="Times New Roman" w:cs="Times New Roman"/>
                <w:szCs w:val="24"/>
                <w:lang w:eastAsia="lv-LV"/>
              </w:rPr>
            </w:pPr>
          </w:p>
        </w:tc>
      </w:tr>
      <w:tr w:rsidR="0043101D" w:rsidRPr="00326F16" w14:paraId="432D3612" w14:textId="77777777" w:rsidTr="0043101D">
        <w:trPr>
          <w:trHeight w:val="310"/>
        </w:trPr>
        <w:tc>
          <w:tcPr>
            <w:tcW w:w="493" w:type="pct"/>
            <w:tcBorders>
              <w:top w:val="single" w:sz="4" w:space="0" w:color="auto"/>
            </w:tcBorders>
            <w:vAlign w:val="center"/>
          </w:tcPr>
          <w:p w14:paraId="41312BBD" w14:textId="77777777" w:rsidR="00240DC2" w:rsidRPr="00384803" w:rsidRDefault="00240DC2" w:rsidP="00240DC2">
            <w:pPr>
              <w:pStyle w:val="ListParagraph"/>
              <w:numPr>
                <w:ilvl w:val="1"/>
                <w:numId w:val="32"/>
              </w:numPr>
              <w:ind w:hanging="578"/>
              <w:rPr>
                <w:rFonts w:eastAsia="Times New Roman" w:cs="Times New Roman"/>
                <w:b/>
                <w:szCs w:val="24"/>
                <w:lang w:eastAsia="lv-LV"/>
              </w:rPr>
            </w:pPr>
          </w:p>
        </w:tc>
        <w:tc>
          <w:tcPr>
            <w:tcW w:w="3679" w:type="pct"/>
          </w:tcPr>
          <w:p w14:paraId="1667DACA" w14:textId="67024562" w:rsidR="00240DC2" w:rsidRPr="00326F16" w:rsidRDefault="00240DC2" w:rsidP="00240DC2">
            <w:pPr>
              <w:tabs>
                <w:tab w:val="left" w:pos="1108"/>
              </w:tabs>
              <w:ind w:left="135" w:right="83"/>
              <w:jc w:val="both"/>
              <w:rPr>
                <w:rFonts w:eastAsia="Times New Roman" w:cs="Times New Roman"/>
                <w:szCs w:val="24"/>
                <w:lang w:eastAsia="lv-LV"/>
              </w:rPr>
            </w:pPr>
            <w:r w:rsidRPr="008B042A">
              <w:t xml:space="preserve">Apdrošināšanas prēmija </w:t>
            </w:r>
            <w:r>
              <w:t xml:space="preserve">tiek </w:t>
            </w:r>
            <w:r w:rsidRPr="008B042A">
              <w:t>samaksāta 30 dienu laikā pēc apdrošināšanas polises noslēgšanas</w:t>
            </w:r>
            <w:r w:rsidR="00D46EFF">
              <w:t xml:space="preserve"> un pretendenta rēķina saņemšanas</w:t>
            </w:r>
            <w:r w:rsidRPr="008B042A">
              <w:t>.</w:t>
            </w:r>
          </w:p>
        </w:tc>
        <w:tc>
          <w:tcPr>
            <w:tcW w:w="828" w:type="pct"/>
          </w:tcPr>
          <w:p w14:paraId="294124CB" w14:textId="77777777" w:rsidR="00240DC2" w:rsidRPr="00326F16" w:rsidRDefault="00240DC2" w:rsidP="00240DC2">
            <w:pPr>
              <w:ind w:left="148" w:right="126"/>
              <w:jc w:val="both"/>
              <w:rPr>
                <w:rFonts w:eastAsia="Times New Roman" w:cs="Times New Roman"/>
                <w:szCs w:val="24"/>
                <w:lang w:eastAsia="lv-LV"/>
              </w:rPr>
            </w:pPr>
          </w:p>
        </w:tc>
      </w:tr>
      <w:tr w:rsidR="0043101D" w:rsidRPr="00326F16" w14:paraId="0A8F6724" w14:textId="77777777" w:rsidTr="0043101D">
        <w:trPr>
          <w:trHeight w:val="310"/>
        </w:trPr>
        <w:tc>
          <w:tcPr>
            <w:tcW w:w="493" w:type="pct"/>
            <w:tcBorders>
              <w:top w:val="single" w:sz="4" w:space="0" w:color="auto"/>
            </w:tcBorders>
            <w:vAlign w:val="center"/>
          </w:tcPr>
          <w:p w14:paraId="08B0309C" w14:textId="77777777" w:rsidR="00240DC2" w:rsidRPr="00384803" w:rsidRDefault="00240DC2" w:rsidP="00240DC2">
            <w:pPr>
              <w:pStyle w:val="ListParagraph"/>
              <w:numPr>
                <w:ilvl w:val="1"/>
                <w:numId w:val="32"/>
              </w:numPr>
              <w:ind w:hanging="578"/>
              <w:rPr>
                <w:rFonts w:eastAsia="Times New Roman" w:cs="Times New Roman"/>
                <w:b/>
                <w:szCs w:val="24"/>
                <w:lang w:eastAsia="lv-LV"/>
              </w:rPr>
            </w:pPr>
          </w:p>
        </w:tc>
        <w:tc>
          <w:tcPr>
            <w:tcW w:w="3679" w:type="pct"/>
          </w:tcPr>
          <w:p w14:paraId="6A45918F" w14:textId="0F3D7443" w:rsidR="00240DC2" w:rsidRPr="008B042A" w:rsidRDefault="00240DC2" w:rsidP="00240DC2">
            <w:pPr>
              <w:tabs>
                <w:tab w:val="left" w:pos="1108"/>
              </w:tabs>
              <w:ind w:left="135" w:right="83"/>
              <w:jc w:val="both"/>
            </w:pPr>
            <w:r>
              <w:t>Par trešo personu atzīstama j</w:t>
            </w:r>
            <w:r w:rsidRPr="00D345A6">
              <w:t>ebkura fiziska vai juridiska persona, valsts vai pašvaldības iestāde, organizācija un citas personas, tai skaitā saistītās puses un sadarbības partneri.</w:t>
            </w:r>
          </w:p>
        </w:tc>
        <w:tc>
          <w:tcPr>
            <w:tcW w:w="828" w:type="pct"/>
          </w:tcPr>
          <w:p w14:paraId="09EE0055" w14:textId="77777777" w:rsidR="00240DC2" w:rsidRPr="00326F16" w:rsidRDefault="00240DC2" w:rsidP="00240DC2">
            <w:pPr>
              <w:ind w:left="148" w:right="126"/>
              <w:jc w:val="both"/>
              <w:rPr>
                <w:rFonts w:eastAsia="Times New Roman" w:cs="Times New Roman"/>
                <w:szCs w:val="24"/>
                <w:lang w:eastAsia="lv-LV"/>
              </w:rPr>
            </w:pPr>
          </w:p>
        </w:tc>
      </w:tr>
      <w:tr w:rsidR="0043101D" w:rsidRPr="00326F16" w14:paraId="6D29DF6F" w14:textId="77777777" w:rsidTr="0043101D">
        <w:trPr>
          <w:trHeight w:val="310"/>
        </w:trPr>
        <w:tc>
          <w:tcPr>
            <w:tcW w:w="493" w:type="pct"/>
            <w:tcBorders>
              <w:top w:val="single" w:sz="4" w:space="0" w:color="auto"/>
            </w:tcBorders>
            <w:vAlign w:val="center"/>
          </w:tcPr>
          <w:p w14:paraId="49B2EAD2" w14:textId="77777777" w:rsidR="00496CE7" w:rsidRPr="00384803" w:rsidRDefault="00496CE7" w:rsidP="00240DC2">
            <w:pPr>
              <w:pStyle w:val="ListParagraph"/>
              <w:numPr>
                <w:ilvl w:val="1"/>
                <w:numId w:val="32"/>
              </w:numPr>
              <w:ind w:hanging="578"/>
              <w:rPr>
                <w:rFonts w:eastAsia="Times New Roman" w:cs="Times New Roman"/>
                <w:b/>
                <w:szCs w:val="24"/>
                <w:lang w:eastAsia="lv-LV"/>
              </w:rPr>
            </w:pPr>
          </w:p>
        </w:tc>
        <w:tc>
          <w:tcPr>
            <w:tcW w:w="3679" w:type="pct"/>
          </w:tcPr>
          <w:p w14:paraId="6FE7504E" w14:textId="41F9AD02" w:rsidR="00496CE7" w:rsidRDefault="00496CE7" w:rsidP="00240DC2">
            <w:pPr>
              <w:tabs>
                <w:tab w:val="left" w:pos="1108"/>
              </w:tabs>
              <w:ind w:left="135" w:right="83"/>
              <w:jc w:val="both"/>
            </w:pPr>
            <w:r w:rsidRPr="005200F3">
              <w:rPr>
                <w:szCs w:val="24"/>
              </w:rPr>
              <w:t>Apdrošināšana ir spēkā Latvijas Republikas teritorijā nepārtraukti – 24 (divdesmit četras) stundas diennaktī, 7 (septiņas) dienas nedēļā.</w:t>
            </w:r>
          </w:p>
        </w:tc>
        <w:tc>
          <w:tcPr>
            <w:tcW w:w="828" w:type="pct"/>
          </w:tcPr>
          <w:p w14:paraId="1800AE42" w14:textId="77777777" w:rsidR="00496CE7" w:rsidRPr="00326F16" w:rsidRDefault="00496CE7" w:rsidP="00240DC2">
            <w:pPr>
              <w:ind w:left="148" w:right="126"/>
              <w:jc w:val="both"/>
              <w:rPr>
                <w:rFonts w:eastAsia="Times New Roman" w:cs="Times New Roman"/>
                <w:szCs w:val="24"/>
                <w:lang w:eastAsia="lv-LV"/>
              </w:rPr>
            </w:pPr>
          </w:p>
        </w:tc>
      </w:tr>
      <w:tr w:rsidR="00240DC2" w:rsidRPr="00326F16" w14:paraId="19F6D538" w14:textId="77777777" w:rsidTr="00A94D7E">
        <w:trPr>
          <w:trHeight w:val="196"/>
        </w:trPr>
        <w:tc>
          <w:tcPr>
            <w:tcW w:w="493" w:type="pct"/>
            <w:shd w:val="pct15" w:color="auto" w:fill="auto"/>
          </w:tcPr>
          <w:p w14:paraId="3F9CCC53" w14:textId="638268CA" w:rsidR="00240DC2" w:rsidRPr="00326F16" w:rsidRDefault="00240DC2" w:rsidP="00240DC2">
            <w:pPr>
              <w:pStyle w:val="ListParagraph"/>
              <w:numPr>
                <w:ilvl w:val="0"/>
                <w:numId w:val="32"/>
              </w:numPr>
              <w:ind w:hanging="578"/>
              <w:rPr>
                <w:rFonts w:eastAsia="Times New Roman" w:cs="Times New Roman"/>
                <w:b/>
                <w:szCs w:val="24"/>
                <w:lang w:eastAsia="lv-LV"/>
              </w:rPr>
            </w:pPr>
          </w:p>
        </w:tc>
        <w:tc>
          <w:tcPr>
            <w:tcW w:w="4507" w:type="pct"/>
            <w:gridSpan w:val="2"/>
            <w:shd w:val="pct15" w:color="auto" w:fill="auto"/>
          </w:tcPr>
          <w:p w14:paraId="7D575222" w14:textId="231DB5BA" w:rsidR="00240DC2" w:rsidRPr="00326F16" w:rsidRDefault="00240DC2" w:rsidP="00240DC2">
            <w:pPr>
              <w:jc w:val="center"/>
              <w:rPr>
                <w:rFonts w:eastAsia="Times New Roman" w:cs="Times New Roman"/>
                <w:b/>
                <w:szCs w:val="24"/>
                <w:lang w:eastAsia="lv-LV"/>
              </w:rPr>
            </w:pPr>
            <w:r w:rsidRPr="00326F16">
              <w:rPr>
                <w:rFonts w:cs="Times New Roman"/>
                <w:b/>
                <w:szCs w:val="24"/>
              </w:rPr>
              <w:t>Līguma darbības termiņš</w:t>
            </w:r>
            <w:r w:rsidR="005200F3">
              <w:rPr>
                <w:rFonts w:cs="Times New Roman"/>
                <w:b/>
                <w:szCs w:val="24"/>
              </w:rPr>
              <w:t xml:space="preserve"> </w:t>
            </w:r>
          </w:p>
        </w:tc>
      </w:tr>
      <w:tr w:rsidR="0043101D" w:rsidRPr="00326F16" w14:paraId="7840F725" w14:textId="77777777" w:rsidTr="0043101D">
        <w:trPr>
          <w:trHeight w:val="310"/>
        </w:trPr>
        <w:tc>
          <w:tcPr>
            <w:tcW w:w="493" w:type="pct"/>
            <w:tcBorders>
              <w:top w:val="single" w:sz="4" w:space="0" w:color="auto"/>
            </w:tcBorders>
            <w:vAlign w:val="center"/>
          </w:tcPr>
          <w:p w14:paraId="2D5E8A5B" w14:textId="1CFAFCCE" w:rsidR="00240DC2" w:rsidRPr="00384803" w:rsidRDefault="00240DC2" w:rsidP="00240DC2">
            <w:pPr>
              <w:pStyle w:val="ListParagraph"/>
              <w:numPr>
                <w:ilvl w:val="1"/>
                <w:numId w:val="32"/>
              </w:numPr>
              <w:ind w:hanging="578"/>
              <w:rPr>
                <w:rFonts w:eastAsia="Times New Roman" w:cs="Times New Roman"/>
                <w:b/>
                <w:szCs w:val="24"/>
                <w:lang w:eastAsia="lv-LV"/>
              </w:rPr>
            </w:pPr>
          </w:p>
        </w:tc>
        <w:tc>
          <w:tcPr>
            <w:tcW w:w="3679" w:type="pct"/>
            <w:tcBorders>
              <w:top w:val="single" w:sz="4" w:space="0" w:color="auto"/>
            </w:tcBorders>
          </w:tcPr>
          <w:p w14:paraId="2FAE5BB8" w14:textId="71BE9543" w:rsidR="003A35B1" w:rsidRDefault="003A35B1" w:rsidP="00240DC2">
            <w:pPr>
              <w:tabs>
                <w:tab w:val="left" w:pos="1108"/>
              </w:tabs>
              <w:ind w:left="135" w:right="83"/>
              <w:jc w:val="both"/>
              <w:rPr>
                <w:rFonts w:eastAsia="Times New Roman" w:cs="Times New Roman"/>
                <w:szCs w:val="24"/>
                <w:lang w:eastAsia="lv-LV"/>
              </w:rPr>
            </w:pPr>
            <w:r>
              <w:rPr>
                <w:rFonts w:eastAsia="Times New Roman" w:cs="Times New Roman"/>
                <w:szCs w:val="24"/>
                <w:lang w:eastAsia="lv-LV"/>
              </w:rPr>
              <w:t>Līgums stājas spēkā tā abpusējas parakstīšanas dienā.</w:t>
            </w:r>
          </w:p>
          <w:p w14:paraId="6C093E54" w14:textId="38C9C599" w:rsidR="003762FB" w:rsidRDefault="003762FB" w:rsidP="00240DC2">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Pasūtītājs </w:t>
            </w:r>
            <w:proofErr w:type="spellStart"/>
            <w:r>
              <w:rPr>
                <w:rFonts w:eastAsia="Times New Roman" w:cs="Times New Roman"/>
                <w:szCs w:val="24"/>
                <w:lang w:eastAsia="lv-LV"/>
              </w:rPr>
              <w:t>pasūta</w:t>
            </w:r>
            <w:proofErr w:type="spellEnd"/>
            <w:r>
              <w:rPr>
                <w:rFonts w:eastAsia="Times New Roman" w:cs="Times New Roman"/>
                <w:szCs w:val="24"/>
                <w:lang w:eastAsia="lv-LV"/>
              </w:rPr>
              <w:t xml:space="preserve"> polisi ne vēlāk kā 6 (sešu) mēnešu laikā pēc līguma noslēgšanas.</w:t>
            </w:r>
          </w:p>
          <w:p w14:paraId="1EEE83B3" w14:textId="1B2FB421" w:rsidR="00240DC2" w:rsidRPr="00326F16" w:rsidRDefault="003A35B1" w:rsidP="00240DC2">
            <w:pPr>
              <w:tabs>
                <w:tab w:val="left" w:pos="1108"/>
              </w:tabs>
              <w:ind w:left="135" w:right="83"/>
              <w:jc w:val="both"/>
              <w:rPr>
                <w:rFonts w:eastAsia="Times New Roman" w:cs="Times New Roman"/>
                <w:szCs w:val="24"/>
                <w:lang w:eastAsia="lv-LV"/>
              </w:rPr>
            </w:pPr>
            <w:r>
              <w:rPr>
                <w:rFonts w:eastAsia="Times New Roman" w:cs="Times New Roman"/>
                <w:szCs w:val="24"/>
                <w:lang w:eastAsia="lv-LV"/>
              </w:rPr>
              <w:t>Līgums ir spēkā l</w:t>
            </w:r>
            <w:r w:rsidR="003762FB">
              <w:rPr>
                <w:rFonts w:eastAsia="Times New Roman" w:cs="Times New Roman"/>
                <w:szCs w:val="24"/>
                <w:lang w:eastAsia="lv-LV"/>
              </w:rPr>
              <w:t xml:space="preserve">īdz </w:t>
            </w:r>
            <w:r>
              <w:rPr>
                <w:rFonts w:eastAsia="Times New Roman" w:cs="Times New Roman"/>
                <w:szCs w:val="24"/>
                <w:lang w:eastAsia="lv-LV"/>
              </w:rPr>
              <w:t xml:space="preserve">abu pušu </w:t>
            </w:r>
            <w:r w:rsidR="003762FB">
              <w:rPr>
                <w:rFonts w:eastAsia="Times New Roman" w:cs="Times New Roman"/>
                <w:szCs w:val="24"/>
                <w:lang w:eastAsia="lv-LV"/>
              </w:rPr>
              <w:t>saistību pilnīgai izpildei.</w:t>
            </w:r>
          </w:p>
        </w:tc>
        <w:tc>
          <w:tcPr>
            <w:tcW w:w="828" w:type="pct"/>
          </w:tcPr>
          <w:p w14:paraId="3F3F3E2C" w14:textId="6AD0A6CB" w:rsidR="00240DC2" w:rsidRPr="00326F16" w:rsidRDefault="00240DC2" w:rsidP="00240DC2">
            <w:pPr>
              <w:ind w:left="148" w:right="126"/>
              <w:jc w:val="both"/>
              <w:rPr>
                <w:rFonts w:eastAsia="Times New Roman" w:cs="Times New Roman"/>
                <w:szCs w:val="24"/>
                <w:lang w:eastAsia="lv-LV"/>
              </w:rPr>
            </w:pPr>
          </w:p>
        </w:tc>
      </w:tr>
      <w:tr w:rsidR="0043101D" w:rsidRPr="00326F16" w14:paraId="3F8C06F5" w14:textId="77777777" w:rsidTr="0043101D">
        <w:trPr>
          <w:trHeight w:val="310"/>
        </w:trPr>
        <w:tc>
          <w:tcPr>
            <w:tcW w:w="493" w:type="pct"/>
            <w:tcBorders>
              <w:top w:val="single" w:sz="4" w:space="0" w:color="auto"/>
            </w:tcBorders>
            <w:vAlign w:val="center"/>
          </w:tcPr>
          <w:p w14:paraId="6FE36BE1" w14:textId="77777777" w:rsidR="00A94D7E" w:rsidRPr="00A94D7E" w:rsidRDefault="00A94D7E" w:rsidP="00A94D7E">
            <w:pPr>
              <w:pStyle w:val="ListParagraph"/>
              <w:numPr>
                <w:ilvl w:val="1"/>
                <w:numId w:val="32"/>
              </w:numPr>
              <w:ind w:hanging="578"/>
              <w:rPr>
                <w:rFonts w:eastAsia="Times New Roman" w:cs="Times New Roman"/>
                <w:b/>
                <w:szCs w:val="24"/>
                <w:lang w:eastAsia="lv-LV"/>
              </w:rPr>
            </w:pPr>
          </w:p>
        </w:tc>
        <w:tc>
          <w:tcPr>
            <w:tcW w:w="3679" w:type="pct"/>
          </w:tcPr>
          <w:p w14:paraId="02AE7A2C" w14:textId="27BE9675" w:rsidR="00A94D7E" w:rsidRPr="00A94D7E" w:rsidRDefault="00A94D7E" w:rsidP="00A94D7E">
            <w:pPr>
              <w:tabs>
                <w:tab w:val="left" w:pos="1108"/>
              </w:tabs>
              <w:ind w:left="135" w:right="83"/>
              <w:jc w:val="both"/>
              <w:rPr>
                <w:rFonts w:eastAsia="Times New Roman" w:cs="Times New Roman"/>
                <w:szCs w:val="24"/>
                <w:lang w:eastAsia="lv-LV"/>
              </w:rPr>
            </w:pPr>
            <w:r w:rsidRPr="0043101D">
              <w:rPr>
                <w:szCs w:val="24"/>
              </w:rPr>
              <w:t>Pagarinātais zaudējumu pieteikšanas periods – vismaz 12 mēneši, bet ne vairāk kā 36 mēneši pēc apdrošināšanas perioda beigām, par zaudējumiem, kas radušies apdrošināšanas perioda laikā, bet konstatēti vēlāk, piemēram,  pēc ilgstošas uzglabāšanas administratīvā procesa laikā.</w:t>
            </w:r>
          </w:p>
        </w:tc>
        <w:tc>
          <w:tcPr>
            <w:tcW w:w="828" w:type="pct"/>
          </w:tcPr>
          <w:p w14:paraId="7A919EF5" w14:textId="559EDFD1" w:rsidR="00A94D7E" w:rsidRPr="00A94D7E" w:rsidRDefault="00A94D7E" w:rsidP="00A94D7E">
            <w:pPr>
              <w:ind w:left="148" w:right="126"/>
              <w:jc w:val="both"/>
              <w:rPr>
                <w:rFonts w:eastAsia="Times New Roman" w:cs="Times New Roman"/>
                <w:szCs w:val="24"/>
                <w:lang w:eastAsia="lv-LV"/>
              </w:rPr>
            </w:pPr>
            <w:r w:rsidRPr="00A94D7E">
              <w:rPr>
                <w:i/>
                <w:szCs w:val="24"/>
              </w:rPr>
              <w:t>Pretendents norāda periodu mēnešos</w:t>
            </w:r>
          </w:p>
        </w:tc>
      </w:tr>
      <w:tr w:rsidR="0043101D" w:rsidRPr="00326F16" w14:paraId="4EF0AEF2" w14:textId="77777777" w:rsidTr="0043101D">
        <w:trPr>
          <w:trHeight w:val="310"/>
        </w:trPr>
        <w:tc>
          <w:tcPr>
            <w:tcW w:w="493" w:type="pct"/>
            <w:tcBorders>
              <w:top w:val="single" w:sz="4" w:space="0" w:color="auto"/>
              <w:bottom w:val="single" w:sz="4" w:space="0" w:color="auto"/>
            </w:tcBorders>
            <w:vAlign w:val="center"/>
          </w:tcPr>
          <w:p w14:paraId="4ADFEB34" w14:textId="77777777" w:rsidR="00A94D7E" w:rsidRPr="00E371A6" w:rsidRDefault="00A94D7E" w:rsidP="00A94D7E">
            <w:pPr>
              <w:pStyle w:val="ListParagraph"/>
              <w:numPr>
                <w:ilvl w:val="0"/>
                <w:numId w:val="32"/>
              </w:numPr>
              <w:ind w:hanging="578"/>
              <w:rPr>
                <w:rFonts w:eastAsia="Times New Roman" w:cs="Times New Roman"/>
                <w:b/>
                <w:szCs w:val="24"/>
                <w:lang w:eastAsia="lv-LV"/>
              </w:rPr>
            </w:pPr>
          </w:p>
        </w:tc>
        <w:tc>
          <w:tcPr>
            <w:tcW w:w="3679" w:type="pct"/>
            <w:tcBorders>
              <w:top w:val="single" w:sz="4" w:space="0" w:color="auto"/>
              <w:left w:val="single" w:sz="4" w:space="0" w:color="auto"/>
              <w:bottom w:val="single" w:sz="4" w:space="0" w:color="auto"/>
            </w:tcBorders>
            <w:vAlign w:val="center"/>
          </w:tcPr>
          <w:p w14:paraId="0B4F0023" w14:textId="7F24A5A1" w:rsidR="00A94D7E" w:rsidRPr="005200F3" w:rsidRDefault="00A94D7E" w:rsidP="00A94D7E">
            <w:pPr>
              <w:tabs>
                <w:tab w:val="left" w:pos="1108"/>
              </w:tabs>
              <w:ind w:left="135" w:right="83"/>
              <w:jc w:val="center"/>
              <w:rPr>
                <w:szCs w:val="24"/>
              </w:rPr>
            </w:pPr>
            <w:r w:rsidRPr="009F7357">
              <w:rPr>
                <w:rFonts w:cs="Times New Roman"/>
                <w:b/>
                <w:szCs w:val="24"/>
              </w:rPr>
              <w:t>Apdrošināšanas kārtība</w:t>
            </w:r>
          </w:p>
        </w:tc>
        <w:tc>
          <w:tcPr>
            <w:tcW w:w="828" w:type="pct"/>
          </w:tcPr>
          <w:p w14:paraId="70C4F4CF" w14:textId="77777777" w:rsidR="00A94D7E" w:rsidRPr="00326F16" w:rsidRDefault="00A94D7E" w:rsidP="00A94D7E">
            <w:pPr>
              <w:ind w:left="148" w:right="126"/>
              <w:jc w:val="both"/>
              <w:rPr>
                <w:rFonts w:eastAsia="Times New Roman" w:cs="Times New Roman"/>
                <w:szCs w:val="24"/>
                <w:lang w:eastAsia="lv-LV"/>
              </w:rPr>
            </w:pPr>
          </w:p>
        </w:tc>
      </w:tr>
      <w:tr w:rsidR="0043101D" w:rsidRPr="00326F16" w14:paraId="65CA3CE6" w14:textId="77777777" w:rsidTr="0043101D">
        <w:trPr>
          <w:trHeight w:val="310"/>
        </w:trPr>
        <w:tc>
          <w:tcPr>
            <w:tcW w:w="493" w:type="pct"/>
            <w:tcBorders>
              <w:top w:val="single" w:sz="4" w:space="0" w:color="auto"/>
              <w:bottom w:val="single" w:sz="4" w:space="0" w:color="auto"/>
            </w:tcBorders>
            <w:vAlign w:val="center"/>
          </w:tcPr>
          <w:p w14:paraId="483EC45D" w14:textId="77777777" w:rsidR="00A94D7E" w:rsidRPr="00384803" w:rsidRDefault="00A94D7E" w:rsidP="00A94D7E">
            <w:pPr>
              <w:pStyle w:val="ListParagraph"/>
              <w:numPr>
                <w:ilvl w:val="1"/>
                <w:numId w:val="32"/>
              </w:numPr>
              <w:ind w:hanging="578"/>
              <w:rPr>
                <w:rFonts w:eastAsia="Times New Roman" w:cs="Times New Roman"/>
                <w:b/>
                <w:szCs w:val="24"/>
                <w:lang w:eastAsia="lv-LV"/>
              </w:rPr>
            </w:pPr>
          </w:p>
        </w:tc>
        <w:tc>
          <w:tcPr>
            <w:tcW w:w="3679" w:type="pct"/>
            <w:tcBorders>
              <w:top w:val="single" w:sz="4" w:space="0" w:color="auto"/>
              <w:left w:val="single" w:sz="4" w:space="0" w:color="auto"/>
              <w:bottom w:val="single" w:sz="4" w:space="0" w:color="auto"/>
            </w:tcBorders>
            <w:vAlign w:val="center"/>
          </w:tcPr>
          <w:p w14:paraId="2AFFF72F" w14:textId="61BB7480" w:rsidR="00A94D7E" w:rsidRPr="005200F3" w:rsidRDefault="00A94D7E" w:rsidP="0043101D">
            <w:pPr>
              <w:tabs>
                <w:tab w:val="left" w:pos="1108"/>
              </w:tabs>
              <w:ind w:right="83"/>
              <w:jc w:val="both"/>
              <w:rPr>
                <w:szCs w:val="24"/>
              </w:rPr>
            </w:pPr>
            <w:r w:rsidRPr="005756B3">
              <w:rPr>
                <w:szCs w:val="24"/>
              </w:rPr>
              <w:t xml:space="preserve">Pretendents ne vēlāk kā 5 (piecas) darbdienas </w:t>
            </w:r>
            <w:r w:rsidR="00EA79BF" w:rsidRPr="005756B3">
              <w:rPr>
                <w:szCs w:val="24"/>
              </w:rPr>
              <w:t>pēc Pasūtītāja pilnvarotās personas elektroniska pieprasījuma nosūtīšanas par polises izsniegšanu</w:t>
            </w:r>
            <w:r w:rsidR="00054B19" w:rsidRPr="005756B3">
              <w:rPr>
                <w:szCs w:val="24"/>
              </w:rPr>
              <w:t>, noformē polisi un uzsāk apdrošināšanas objekta apdrošināšanu, kā arī</w:t>
            </w:r>
            <w:r w:rsidR="00EA79BF" w:rsidRPr="005756B3">
              <w:rPr>
                <w:szCs w:val="24"/>
              </w:rPr>
              <w:t xml:space="preserve"> </w:t>
            </w:r>
            <w:r w:rsidRPr="005756B3">
              <w:rPr>
                <w:szCs w:val="24"/>
              </w:rPr>
              <w:t>piegādā Pasūtītājam Polisi uz Tehniskā piedāvājuma 7.2.apakšpunktā norādīto Polises piegādes vietu Pasūtītāja darba laikā.</w:t>
            </w:r>
          </w:p>
        </w:tc>
        <w:tc>
          <w:tcPr>
            <w:tcW w:w="828" w:type="pct"/>
          </w:tcPr>
          <w:p w14:paraId="38BA7FEB" w14:textId="77777777" w:rsidR="00A94D7E" w:rsidRPr="00326F16" w:rsidRDefault="00A94D7E" w:rsidP="00A94D7E">
            <w:pPr>
              <w:ind w:left="148" w:right="126"/>
              <w:jc w:val="both"/>
              <w:rPr>
                <w:rFonts w:eastAsia="Times New Roman" w:cs="Times New Roman"/>
                <w:szCs w:val="24"/>
                <w:lang w:eastAsia="lv-LV"/>
              </w:rPr>
            </w:pPr>
          </w:p>
        </w:tc>
      </w:tr>
      <w:tr w:rsidR="0043101D" w:rsidRPr="00326F16" w14:paraId="56BD6983" w14:textId="77777777" w:rsidTr="0043101D">
        <w:trPr>
          <w:trHeight w:val="310"/>
        </w:trPr>
        <w:tc>
          <w:tcPr>
            <w:tcW w:w="493" w:type="pct"/>
            <w:tcBorders>
              <w:top w:val="single" w:sz="4" w:space="0" w:color="auto"/>
              <w:bottom w:val="single" w:sz="4" w:space="0" w:color="auto"/>
            </w:tcBorders>
            <w:vAlign w:val="center"/>
          </w:tcPr>
          <w:p w14:paraId="71B0743A" w14:textId="77777777" w:rsidR="00A94D7E" w:rsidRPr="00384803" w:rsidRDefault="00A94D7E" w:rsidP="00A94D7E">
            <w:pPr>
              <w:pStyle w:val="ListParagraph"/>
              <w:numPr>
                <w:ilvl w:val="1"/>
                <w:numId w:val="32"/>
              </w:numPr>
              <w:ind w:hanging="578"/>
              <w:rPr>
                <w:rFonts w:eastAsia="Times New Roman" w:cs="Times New Roman"/>
                <w:b/>
                <w:szCs w:val="24"/>
                <w:lang w:eastAsia="lv-LV"/>
              </w:rPr>
            </w:pPr>
          </w:p>
        </w:tc>
        <w:tc>
          <w:tcPr>
            <w:tcW w:w="3679" w:type="pct"/>
            <w:tcBorders>
              <w:top w:val="single" w:sz="4" w:space="0" w:color="auto"/>
              <w:left w:val="single" w:sz="4" w:space="0" w:color="auto"/>
              <w:bottom w:val="single" w:sz="4" w:space="0" w:color="auto"/>
            </w:tcBorders>
            <w:vAlign w:val="center"/>
          </w:tcPr>
          <w:p w14:paraId="0D706354" w14:textId="5D096982" w:rsidR="00A94D7E" w:rsidRPr="009F7357" w:rsidRDefault="00A94D7E" w:rsidP="00A94D7E">
            <w:pPr>
              <w:spacing w:before="20" w:after="20"/>
              <w:ind w:left="144"/>
              <w:jc w:val="both"/>
              <w:rPr>
                <w:szCs w:val="24"/>
              </w:rPr>
            </w:pPr>
            <w:r w:rsidRPr="009F7357">
              <w:rPr>
                <w:rStyle w:val="FontStyle18"/>
                <w:sz w:val="24"/>
                <w:u w:val="single"/>
              </w:rPr>
              <w:t>Polises piegādes vieta</w:t>
            </w:r>
            <w:r w:rsidR="00EA79BF">
              <w:rPr>
                <w:rStyle w:val="FontStyle18"/>
                <w:sz w:val="24"/>
                <w:u w:val="single"/>
              </w:rPr>
              <w:t xml:space="preserve"> (pēc Pasūtītāja izvēles)</w:t>
            </w:r>
            <w:r w:rsidRPr="009F7357">
              <w:rPr>
                <w:rStyle w:val="FontStyle18"/>
                <w:sz w:val="24"/>
              </w:rPr>
              <w:t xml:space="preserve">: </w:t>
            </w:r>
            <w:r w:rsidRPr="009F7357">
              <w:rPr>
                <w:szCs w:val="24"/>
              </w:rPr>
              <w:t>Talejas iela 1, Rīga, VID administratīvā ēka</w:t>
            </w:r>
            <w:r w:rsidR="00EA79BF">
              <w:rPr>
                <w:szCs w:val="24"/>
              </w:rPr>
              <w:t xml:space="preserve"> vai uz e-pastu </w:t>
            </w:r>
            <w:hyperlink r:id="rId11" w:history="1">
              <w:r w:rsidR="00EA79BF" w:rsidRPr="0012335B">
                <w:rPr>
                  <w:rStyle w:val="Hyperlink"/>
                  <w:szCs w:val="24"/>
                </w:rPr>
                <w:t>FP.lietvediba@vid.gov.lv</w:t>
              </w:r>
            </w:hyperlink>
            <w:r w:rsidR="00EA79BF">
              <w:rPr>
                <w:szCs w:val="24"/>
              </w:rPr>
              <w:t xml:space="preserve">, vai </w:t>
            </w:r>
            <w:hyperlink r:id="rId12" w:history="1">
              <w:r w:rsidR="00EA79BF" w:rsidRPr="0012335B">
                <w:rPr>
                  <w:rStyle w:val="Hyperlink"/>
                  <w:szCs w:val="24"/>
                </w:rPr>
                <w:t>Ineta.Denisko@vid.gov.lv</w:t>
              </w:r>
            </w:hyperlink>
            <w:r w:rsidRPr="009F7357">
              <w:rPr>
                <w:szCs w:val="24"/>
              </w:rPr>
              <w:t>;</w:t>
            </w:r>
          </w:p>
          <w:p w14:paraId="1967C863" w14:textId="2B9F4B2F" w:rsidR="00A94D7E" w:rsidRPr="005200F3" w:rsidRDefault="00A94D7E" w:rsidP="00A94D7E">
            <w:pPr>
              <w:tabs>
                <w:tab w:val="left" w:pos="1108"/>
              </w:tabs>
              <w:ind w:left="135" w:right="83"/>
              <w:jc w:val="both"/>
              <w:rPr>
                <w:szCs w:val="24"/>
              </w:rPr>
            </w:pPr>
            <w:r w:rsidRPr="009F7357">
              <w:rPr>
                <w:szCs w:val="24"/>
                <w:u w:val="single"/>
              </w:rPr>
              <w:t>Pasūtītāja darba laiks (valsts noteiktās oficiālās darba dienās)</w:t>
            </w:r>
            <w:r w:rsidRPr="009F7357">
              <w:rPr>
                <w:szCs w:val="24"/>
              </w:rPr>
              <w:t>: no pirmdienas līdz ceturtdienai no plkst.08:15 līdz plkst.17:00 un piektdienās no plkst.08:15 līdz plkst.15:45.</w:t>
            </w:r>
          </w:p>
        </w:tc>
        <w:tc>
          <w:tcPr>
            <w:tcW w:w="828" w:type="pct"/>
          </w:tcPr>
          <w:p w14:paraId="3D7F466C" w14:textId="77777777" w:rsidR="00A94D7E" w:rsidRPr="00326F16" w:rsidRDefault="00A94D7E" w:rsidP="00A94D7E">
            <w:pPr>
              <w:ind w:left="148" w:right="126"/>
              <w:jc w:val="both"/>
              <w:rPr>
                <w:rFonts w:eastAsia="Times New Roman" w:cs="Times New Roman"/>
                <w:szCs w:val="24"/>
                <w:lang w:eastAsia="lv-LV"/>
              </w:rPr>
            </w:pPr>
          </w:p>
        </w:tc>
      </w:tr>
      <w:tr w:rsidR="0043101D" w:rsidRPr="00326F16" w14:paraId="7D92AFFC" w14:textId="77777777" w:rsidTr="0043101D">
        <w:trPr>
          <w:trHeight w:val="310"/>
        </w:trPr>
        <w:tc>
          <w:tcPr>
            <w:tcW w:w="493" w:type="pct"/>
            <w:tcBorders>
              <w:top w:val="single" w:sz="4" w:space="0" w:color="auto"/>
              <w:bottom w:val="single" w:sz="4" w:space="0" w:color="auto"/>
            </w:tcBorders>
            <w:vAlign w:val="center"/>
          </w:tcPr>
          <w:p w14:paraId="52A33416" w14:textId="77777777" w:rsidR="00A94D7E" w:rsidRPr="00384803" w:rsidRDefault="00A94D7E" w:rsidP="00A94D7E">
            <w:pPr>
              <w:pStyle w:val="ListParagraph"/>
              <w:numPr>
                <w:ilvl w:val="1"/>
                <w:numId w:val="32"/>
              </w:numPr>
              <w:ind w:hanging="578"/>
              <w:rPr>
                <w:rFonts w:eastAsia="Times New Roman" w:cs="Times New Roman"/>
                <w:b/>
                <w:szCs w:val="24"/>
                <w:lang w:eastAsia="lv-LV"/>
              </w:rPr>
            </w:pPr>
          </w:p>
        </w:tc>
        <w:tc>
          <w:tcPr>
            <w:tcW w:w="3679" w:type="pct"/>
            <w:tcBorders>
              <w:top w:val="single" w:sz="4" w:space="0" w:color="auto"/>
              <w:left w:val="single" w:sz="4" w:space="0" w:color="auto"/>
              <w:bottom w:val="single" w:sz="4" w:space="0" w:color="auto"/>
            </w:tcBorders>
            <w:vAlign w:val="center"/>
          </w:tcPr>
          <w:p w14:paraId="5A120E07" w14:textId="6F71304F" w:rsidR="00A94D7E" w:rsidRPr="005200F3" w:rsidRDefault="00A94D7E" w:rsidP="00A94D7E">
            <w:pPr>
              <w:tabs>
                <w:tab w:val="left" w:pos="1108"/>
              </w:tabs>
              <w:ind w:left="135" w:right="83"/>
              <w:jc w:val="both"/>
              <w:rPr>
                <w:szCs w:val="24"/>
              </w:rPr>
            </w:pPr>
            <w:r w:rsidRPr="009F7357">
              <w:rPr>
                <w:szCs w:val="24"/>
              </w:rPr>
              <w:t xml:space="preserve">Iestājoties apdrošināšanas gadījumam, Pretendents </w:t>
            </w:r>
            <w:r w:rsidRPr="009F7357">
              <w:rPr>
                <w:rStyle w:val="FontStyle18"/>
                <w:sz w:val="24"/>
              </w:rPr>
              <w:t>pēc visas nepieciešamās informācijas un dokumentu saņemšanas 5 (piecu) darbdienu laikā pieņem lēmumu par apdrošināšanas atlīdzības izmaksu vai tās noraidīšanu.</w:t>
            </w:r>
          </w:p>
        </w:tc>
        <w:tc>
          <w:tcPr>
            <w:tcW w:w="828" w:type="pct"/>
          </w:tcPr>
          <w:p w14:paraId="01B0FAD0" w14:textId="77777777" w:rsidR="00A94D7E" w:rsidRPr="00326F16" w:rsidRDefault="00A94D7E" w:rsidP="00A94D7E">
            <w:pPr>
              <w:ind w:left="148" w:right="126"/>
              <w:jc w:val="both"/>
              <w:rPr>
                <w:rFonts w:eastAsia="Times New Roman" w:cs="Times New Roman"/>
                <w:szCs w:val="24"/>
                <w:lang w:eastAsia="lv-LV"/>
              </w:rPr>
            </w:pPr>
          </w:p>
        </w:tc>
      </w:tr>
      <w:tr w:rsidR="0043101D" w:rsidRPr="00326F16" w14:paraId="322A62CC" w14:textId="77777777" w:rsidTr="0043101D">
        <w:trPr>
          <w:trHeight w:val="310"/>
        </w:trPr>
        <w:tc>
          <w:tcPr>
            <w:tcW w:w="493" w:type="pct"/>
            <w:tcBorders>
              <w:top w:val="single" w:sz="4" w:space="0" w:color="auto"/>
              <w:bottom w:val="single" w:sz="4" w:space="0" w:color="auto"/>
            </w:tcBorders>
            <w:vAlign w:val="center"/>
          </w:tcPr>
          <w:p w14:paraId="01B2928F" w14:textId="77777777" w:rsidR="00A94D7E" w:rsidRPr="00384803" w:rsidRDefault="00A94D7E" w:rsidP="00A94D7E">
            <w:pPr>
              <w:pStyle w:val="ListParagraph"/>
              <w:numPr>
                <w:ilvl w:val="1"/>
                <w:numId w:val="32"/>
              </w:numPr>
              <w:ind w:hanging="578"/>
              <w:rPr>
                <w:rFonts w:eastAsia="Times New Roman" w:cs="Times New Roman"/>
                <w:b/>
                <w:szCs w:val="24"/>
                <w:lang w:eastAsia="lv-LV"/>
              </w:rPr>
            </w:pPr>
          </w:p>
        </w:tc>
        <w:tc>
          <w:tcPr>
            <w:tcW w:w="3679" w:type="pct"/>
            <w:tcBorders>
              <w:top w:val="single" w:sz="4" w:space="0" w:color="auto"/>
              <w:left w:val="single" w:sz="4" w:space="0" w:color="auto"/>
              <w:bottom w:val="single" w:sz="4" w:space="0" w:color="auto"/>
            </w:tcBorders>
            <w:vAlign w:val="center"/>
          </w:tcPr>
          <w:p w14:paraId="3AAD3996" w14:textId="6457306C" w:rsidR="00A94D7E" w:rsidRPr="005200F3" w:rsidRDefault="00A94D7E" w:rsidP="00A94D7E">
            <w:pPr>
              <w:tabs>
                <w:tab w:val="left" w:pos="1108"/>
              </w:tabs>
              <w:ind w:left="135" w:right="83"/>
              <w:jc w:val="both"/>
              <w:rPr>
                <w:szCs w:val="24"/>
              </w:rPr>
            </w:pPr>
            <w:r w:rsidRPr="009F7357">
              <w:rPr>
                <w:rStyle w:val="FontStyle18"/>
                <w:sz w:val="24"/>
              </w:rPr>
              <w:t>Apdrošināšanas atlīdzība tiek izmaksāta 5 (piecu) darbdienu laikā no lēmuma par apdrošināšanas atlīdzības izmaksu pieņemšanas, pārskaitot apdrošināšanas atlīdzību uz trešās personas, kurai nodarīts zaudējums/kaitējums, norādīto norēķinu kontu kredītiestādē. Apdrošināšanas atlīdzība ir uzskatāma par izmaksātu dienā, kad nauda ir ieskaitīta trešās personas, kurai nodarīts zaudējums/kaitējums, norādītajā norēķinu kontā kredītiestādē.</w:t>
            </w:r>
          </w:p>
        </w:tc>
        <w:tc>
          <w:tcPr>
            <w:tcW w:w="828" w:type="pct"/>
          </w:tcPr>
          <w:p w14:paraId="22870DD5" w14:textId="77777777" w:rsidR="00A94D7E" w:rsidRPr="00326F16" w:rsidRDefault="00A94D7E" w:rsidP="00A94D7E">
            <w:pPr>
              <w:ind w:left="148" w:right="126"/>
              <w:jc w:val="both"/>
              <w:rPr>
                <w:rFonts w:eastAsia="Times New Roman" w:cs="Times New Roman"/>
                <w:szCs w:val="24"/>
                <w:lang w:eastAsia="lv-LV"/>
              </w:rPr>
            </w:pPr>
          </w:p>
        </w:tc>
      </w:tr>
      <w:tr w:rsidR="0043101D" w:rsidRPr="00326F16" w14:paraId="56D9F95D" w14:textId="77777777" w:rsidTr="0043101D">
        <w:trPr>
          <w:trHeight w:val="310"/>
        </w:trPr>
        <w:tc>
          <w:tcPr>
            <w:tcW w:w="493" w:type="pct"/>
            <w:tcBorders>
              <w:top w:val="single" w:sz="4" w:space="0" w:color="auto"/>
              <w:bottom w:val="single" w:sz="4" w:space="0" w:color="auto"/>
            </w:tcBorders>
            <w:vAlign w:val="center"/>
          </w:tcPr>
          <w:p w14:paraId="1F1CEB5A" w14:textId="77777777" w:rsidR="00A94D7E" w:rsidRPr="00384803" w:rsidRDefault="00A94D7E" w:rsidP="00A94D7E">
            <w:pPr>
              <w:pStyle w:val="ListParagraph"/>
              <w:numPr>
                <w:ilvl w:val="1"/>
                <w:numId w:val="32"/>
              </w:numPr>
              <w:ind w:hanging="578"/>
              <w:rPr>
                <w:rFonts w:eastAsia="Times New Roman" w:cs="Times New Roman"/>
                <w:b/>
                <w:szCs w:val="24"/>
                <w:lang w:eastAsia="lv-LV"/>
              </w:rPr>
            </w:pPr>
          </w:p>
        </w:tc>
        <w:tc>
          <w:tcPr>
            <w:tcW w:w="3679" w:type="pct"/>
            <w:tcBorders>
              <w:top w:val="single" w:sz="4" w:space="0" w:color="auto"/>
              <w:left w:val="single" w:sz="4" w:space="0" w:color="auto"/>
              <w:bottom w:val="single" w:sz="4" w:space="0" w:color="auto"/>
            </w:tcBorders>
            <w:vAlign w:val="center"/>
          </w:tcPr>
          <w:p w14:paraId="337D9ADC" w14:textId="7FE98475" w:rsidR="00A94D7E" w:rsidRPr="005200F3" w:rsidRDefault="00A94D7E" w:rsidP="00A94D7E">
            <w:pPr>
              <w:tabs>
                <w:tab w:val="left" w:pos="1108"/>
              </w:tabs>
              <w:ind w:left="135" w:right="83"/>
              <w:jc w:val="both"/>
              <w:rPr>
                <w:szCs w:val="24"/>
              </w:rPr>
            </w:pPr>
            <w:r w:rsidRPr="009F7357">
              <w:rPr>
                <w:rStyle w:val="FontStyle18"/>
                <w:sz w:val="24"/>
              </w:rPr>
              <w:t xml:space="preserve">Ja Pretendents ir pieņēmis lēmumu par atteikumu izmaksāt apdrošināšanas atlīdzību, tas 5 (piecu) darbdienu laikā pēc lēmuma pieņemšanas </w:t>
            </w:r>
            <w:proofErr w:type="spellStart"/>
            <w:r w:rsidRPr="009F7357">
              <w:rPr>
                <w:rStyle w:val="FontStyle18"/>
                <w:sz w:val="24"/>
              </w:rPr>
              <w:t>nosūta</w:t>
            </w:r>
            <w:proofErr w:type="spellEnd"/>
            <w:r w:rsidRPr="009F7357">
              <w:rPr>
                <w:rStyle w:val="FontStyle18"/>
                <w:sz w:val="24"/>
              </w:rPr>
              <w:t xml:space="preserve"> Pasūtītājam un trešajai personai, kurai atteikts izmaksāt apdrošināšanas atlīdzību, motivētu rakstveida paziņojumu.</w:t>
            </w:r>
          </w:p>
        </w:tc>
        <w:tc>
          <w:tcPr>
            <w:tcW w:w="828" w:type="pct"/>
          </w:tcPr>
          <w:p w14:paraId="74AAC87A" w14:textId="77777777" w:rsidR="00A94D7E" w:rsidRPr="00326F16" w:rsidRDefault="00A94D7E" w:rsidP="00A94D7E">
            <w:pPr>
              <w:ind w:left="148" w:right="126"/>
              <w:jc w:val="both"/>
              <w:rPr>
                <w:rFonts w:eastAsia="Times New Roman" w:cs="Times New Roman"/>
                <w:szCs w:val="24"/>
                <w:lang w:eastAsia="lv-LV"/>
              </w:rPr>
            </w:pPr>
          </w:p>
        </w:tc>
      </w:tr>
      <w:tr w:rsidR="0043101D" w:rsidRPr="00326F16" w14:paraId="6A5F608E" w14:textId="77777777" w:rsidTr="0043101D">
        <w:trPr>
          <w:trHeight w:val="310"/>
        </w:trPr>
        <w:tc>
          <w:tcPr>
            <w:tcW w:w="493" w:type="pct"/>
            <w:tcBorders>
              <w:top w:val="single" w:sz="4" w:space="0" w:color="auto"/>
              <w:bottom w:val="single" w:sz="4" w:space="0" w:color="auto"/>
            </w:tcBorders>
            <w:vAlign w:val="center"/>
          </w:tcPr>
          <w:p w14:paraId="7E78E1CF" w14:textId="77777777" w:rsidR="00A94D7E" w:rsidRPr="00384803" w:rsidRDefault="00A94D7E" w:rsidP="00A94D7E">
            <w:pPr>
              <w:pStyle w:val="ListParagraph"/>
              <w:numPr>
                <w:ilvl w:val="1"/>
                <w:numId w:val="32"/>
              </w:numPr>
              <w:ind w:hanging="578"/>
              <w:rPr>
                <w:rFonts w:eastAsia="Times New Roman" w:cs="Times New Roman"/>
                <w:b/>
                <w:szCs w:val="24"/>
                <w:lang w:eastAsia="lv-LV"/>
              </w:rPr>
            </w:pPr>
          </w:p>
        </w:tc>
        <w:tc>
          <w:tcPr>
            <w:tcW w:w="3679" w:type="pct"/>
            <w:tcBorders>
              <w:top w:val="single" w:sz="4" w:space="0" w:color="auto"/>
              <w:left w:val="single" w:sz="4" w:space="0" w:color="auto"/>
              <w:bottom w:val="single" w:sz="4" w:space="0" w:color="auto"/>
            </w:tcBorders>
            <w:vAlign w:val="center"/>
          </w:tcPr>
          <w:p w14:paraId="7E7BB36A" w14:textId="3C8B8BEB" w:rsidR="00A94D7E" w:rsidRPr="009F7357" w:rsidRDefault="00A94D7E" w:rsidP="00A94D7E">
            <w:pPr>
              <w:tabs>
                <w:tab w:val="left" w:pos="1108"/>
              </w:tabs>
              <w:ind w:left="135" w:right="83"/>
              <w:jc w:val="both"/>
              <w:rPr>
                <w:rStyle w:val="FontStyle18"/>
                <w:sz w:val="24"/>
              </w:rPr>
            </w:pPr>
            <w:r w:rsidRPr="009F7357">
              <w:rPr>
                <w:rStyle w:val="FontStyle18"/>
                <w:sz w:val="24"/>
              </w:rPr>
              <w:t xml:space="preserve">Ja Polises darbība tiek izbeigta pirms termiņa, </w:t>
            </w:r>
            <w:r w:rsidRPr="009F7357">
              <w:rPr>
                <w:szCs w:val="24"/>
              </w:rPr>
              <w:t xml:space="preserve">Pretendents </w:t>
            </w:r>
            <w:r w:rsidRPr="009F7357">
              <w:rPr>
                <w:rStyle w:val="FontStyle18"/>
                <w:sz w:val="24"/>
              </w:rPr>
              <w:t xml:space="preserve">atmaksājamo neizmantotās apdrošināšanas prēmijas daļu aprēķina proporcionāli atlikušajam Polises darbības laikam. Neizmantotās apdrošināšanas prēmijas daļas atmaksa tiek veikta 10 (desmit) darbdienu laikā, skaitot no Polises darbības izbeigšanas dienas. </w:t>
            </w:r>
            <w:r w:rsidRPr="009F7357">
              <w:rPr>
                <w:szCs w:val="24"/>
              </w:rPr>
              <w:t xml:space="preserve">Pretendents </w:t>
            </w:r>
            <w:r w:rsidRPr="009F7357">
              <w:rPr>
                <w:rStyle w:val="FontStyle18"/>
                <w:sz w:val="24"/>
              </w:rPr>
              <w:t>neietur procentus par priekšlaicīgu līguma un Polises izbeigšanu.</w:t>
            </w:r>
          </w:p>
        </w:tc>
        <w:tc>
          <w:tcPr>
            <w:tcW w:w="828" w:type="pct"/>
          </w:tcPr>
          <w:p w14:paraId="6A9ED507" w14:textId="77777777" w:rsidR="00A94D7E" w:rsidRPr="00326F16" w:rsidRDefault="00A94D7E" w:rsidP="00A94D7E">
            <w:pPr>
              <w:ind w:left="148" w:right="126"/>
              <w:jc w:val="both"/>
              <w:rPr>
                <w:rFonts w:eastAsia="Times New Roman" w:cs="Times New Roman"/>
                <w:szCs w:val="24"/>
                <w:lang w:eastAsia="lv-LV"/>
              </w:rPr>
            </w:pPr>
          </w:p>
        </w:tc>
      </w:tr>
      <w:tr w:rsidR="0043101D" w:rsidRPr="00326F16" w14:paraId="631223DC" w14:textId="77777777" w:rsidTr="0043101D">
        <w:trPr>
          <w:trHeight w:val="310"/>
        </w:trPr>
        <w:tc>
          <w:tcPr>
            <w:tcW w:w="493" w:type="pct"/>
            <w:tcBorders>
              <w:top w:val="single" w:sz="4" w:space="0" w:color="auto"/>
              <w:bottom w:val="single" w:sz="4" w:space="0" w:color="auto"/>
            </w:tcBorders>
            <w:vAlign w:val="center"/>
          </w:tcPr>
          <w:p w14:paraId="49CBE204" w14:textId="77777777" w:rsidR="00A94D7E" w:rsidRPr="00384803" w:rsidRDefault="00A94D7E" w:rsidP="00A94D7E">
            <w:pPr>
              <w:pStyle w:val="ListParagraph"/>
              <w:numPr>
                <w:ilvl w:val="1"/>
                <w:numId w:val="32"/>
              </w:numPr>
              <w:ind w:hanging="578"/>
              <w:rPr>
                <w:rFonts w:eastAsia="Times New Roman" w:cs="Times New Roman"/>
                <w:b/>
                <w:szCs w:val="24"/>
                <w:lang w:eastAsia="lv-LV"/>
              </w:rPr>
            </w:pPr>
          </w:p>
        </w:tc>
        <w:tc>
          <w:tcPr>
            <w:tcW w:w="3679" w:type="pct"/>
            <w:tcBorders>
              <w:top w:val="single" w:sz="4" w:space="0" w:color="auto"/>
              <w:left w:val="single" w:sz="4" w:space="0" w:color="auto"/>
              <w:bottom w:val="single" w:sz="4" w:space="0" w:color="auto"/>
            </w:tcBorders>
            <w:vAlign w:val="center"/>
          </w:tcPr>
          <w:p w14:paraId="2DAA9AEE" w14:textId="3D938014" w:rsidR="00A94D7E" w:rsidRPr="009F7357" w:rsidRDefault="00A94D7E" w:rsidP="00A94D7E">
            <w:pPr>
              <w:tabs>
                <w:tab w:val="left" w:pos="1108"/>
              </w:tabs>
              <w:ind w:left="135" w:right="83"/>
              <w:jc w:val="both"/>
              <w:rPr>
                <w:rStyle w:val="FontStyle18"/>
                <w:sz w:val="24"/>
              </w:rPr>
            </w:pPr>
            <w:r w:rsidRPr="009F7357">
              <w:rPr>
                <w:bCs/>
                <w:szCs w:val="24"/>
              </w:rPr>
              <w:t xml:space="preserve">Gadījumā, ja ir konstatētas pretrunas starp </w:t>
            </w:r>
            <w:r w:rsidRPr="009F7357">
              <w:rPr>
                <w:szCs w:val="24"/>
              </w:rPr>
              <w:t xml:space="preserve">Pretendenta </w:t>
            </w:r>
            <w:r w:rsidRPr="009F7357">
              <w:rPr>
                <w:bCs/>
                <w:szCs w:val="24"/>
              </w:rPr>
              <w:t>apdrošināšanas noteikumiem un līgum</w:t>
            </w:r>
            <w:r w:rsidR="003530CF">
              <w:rPr>
                <w:bCs/>
                <w:szCs w:val="24"/>
              </w:rPr>
              <w:t>ā</w:t>
            </w:r>
            <w:r w:rsidRPr="009F7357">
              <w:rPr>
                <w:bCs/>
                <w:szCs w:val="24"/>
              </w:rPr>
              <w:t xml:space="preserve"> </w:t>
            </w:r>
            <w:r w:rsidR="00FF4FCC">
              <w:rPr>
                <w:bCs/>
                <w:szCs w:val="24"/>
              </w:rPr>
              <w:t xml:space="preserve">(pretendenta piedāvājumā) </w:t>
            </w:r>
            <w:r w:rsidRPr="009F7357">
              <w:rPr>
                <w:bCs/>
                <w:szCs w:val="24"/>
              </w:rPr>
              <w:t xml:space="preserve">noteiktajām prasībām, prioritāte ir līgumā </w:t>
            </w:r>
            <w:r w:rsidR="00FF4FCC">
              <w:rPr>
                <w:bCs/>
                <w:szCs w:val="24"/>
              </w:rPr>
              <w:t xml:space="preserve">(Pretendenta piedāvājumā) </w:t>
            </w:r>
            <w:r w:rsidRPr="009F7357">
              <w:rPr>
                <w:bCs/>
                <w:szCs w:val="24"/>
              </w:rPr>
              <w:t xml:space="preserve">noteiktajām prasībām, izņemot gadījumu, kad </w:t>
            </w:r>
            <w:r w:rsidRPr="009F7357">
              <w:rPr>
                <w:szCs w:val="24"/>
              </w:rPr>
              <w:t xml:space="preserve">Pretendenta </w:t>
            </w:r>
            <w:r w:rsidRPr="009F7357">
              <w:rPr>
                <w:bCs/>
                <w:szCs w:val="24"/>
              </w:rPr>
              <w:t>apdrošināšanas noteikumos paredzētie noteikumi ir labvēlīgāki Pasūtītājam.</w:t>
            </w:r>
          </w:p>
        </w:tc>
        <w:tc>
          <w:tcPr>
            <w:tcW w:w="828" w:type="pct"/>
          </w:tcPr>
          <w:p w14:paraId="05067062" w14:textId="77777777" w:rsidR="00A94D7E" w:rsidRPr="00326F16" w:rsidRDefault="00A94D7E" w:rsidP="00A94D7E">
            <w:pPr>
              <w:ind w:left="148" w:right="126"/>
              <w:jc w:val="both"/>
              <w:rPr>
                <w:rFonts w:eastAsia="Times New Roman" w:cs="Times New Roman"/>
                <w:szCs w:val="24"/>
                <w:lang w:eastAsia="lv-LV"/>
              </w:rPr>
            </w:pPr>
          </w:p>
        </w:tc>
      </w:tr>
      <w:tr w:rsidR="00A94D7E" w:rsidRPr="00326F16" w14:paraId="6A365E4F" w14:textId="77777777" w:rsidTr="00A94D7E">
        <w:trPr>
          <w:trHeight w:val="310"/>
        </w:trPr>
        <w:tc>
          <w:tcPr>
            <w:tcW w:w="493" w:type="pct"/>
            <w:tcBorders>
              <w:top w:val="single" w:sz="4" w:space="0" w:color="auto"/>
              <w:bottom w:val="single" w:sz="4" w:space="0" w:color="auto"/>
            </w:tcBorders>
            <w:vAlign w:val="center"/>
          </w:tcPr>
          <w:p w14:paraId="3814D155" w14:textId="5705717E" w:rsidR="00A94D7E" w:rsidRPr="00F619DD" w:rsidRDefault="00A94D7E" w:rsidP="00A94D7E">
            <w:pPr>
              <w:pStyle w:val="ListParagraph"/>
              <w:numPr>
                <w:ilvl w:val="0"/>
                <w:numId w:val="32"/>
              </w:numPr>
              <w:rPr>
                <w:rFonts w:eastAsia="Times New Roman" w:cs="Times New Roman"/>
                <w:b/>
                <w:szCs w:val="24"/>
                <w:lang w:eastAsia="lv-LV"/>
              </w:rPr>
            </w:pPr>
          </w:p>
        </w:tc>
        <w:tc>
          <w:tcPr>
            <w:tcW w:w="4507" w:type="pct"/>
            <w:gridSpan w:val="2"/>
            <w:tcBorders>
              <w:top w:val="single" w:sz="4" w:space="0" w:color="auto"/>
              <w:left w:val="single" w:sz="4" w:space="0" w:color="auto"/>
              <w:bottom w:val="single" w:sz="4" w:space="0" w:color="auto"/>
            </w:tcBorders>
            <w:vAlign w:val="center"/>
          </w:tcPr>
          <w:p w14:paraId="15293DD9" w14:textId="0B7077BA" w:rsidR="00A94D7E" w:rsidRPr="00F619DD" w:rsidRDefault="00A94D7E" w:rsidP="00A94D7E">
            <w:pPr>
              <w:ind w:left="148" w:right="126"/>
              <w:jc w:val="center"/>
              <w:rPr>
                <w:rFonts w:eastAsia="Times New Roman" w:cs="Times New Roman"/>
                <w:b/>
                <w:bCs/>
                <w:szCs w:val="24"/>
                <w:lang w:eastAsia="lv-LV"/>
              </w:rPr>
            </w:pPr>
            <w:r w:rsidRPr="00F619DD">
              <w:rPr>
                <w:rFonts w:eastAsia="Times New Roman" w:cs="Times New Roman"/>
                <w:b/>
                <w:bCs/>
                <w:szCs w:val="24"/>
                <w:lang w:eastAsia="lv-LV"/>
              </w:rPr>
              <w:t>Pakalpojuma izmaksas</w:t>
            </w:r>
          </w:p>
        </w:tc>
      </w:tr>
      <w:tr w:rsidR="0043101D" w:rsidRPr="00326F16" w14:paraId="6FD6FF64" w14:textId="77777777" w:rsidTr="0043101D">
        <w:trPr>
          <w:trHeight w:val="310"/>
        </w:trPr>
        <w:tc>
          <w:tcPr>
            <w:tcW w:w="493" w:type="pct"/>
            <w:tcBorders>
              <w:top w:val="single" w:sz="4" w:space="0" w:color="auto"/>
              <w:bottom w:val="single" w:sz="4" w:space="0" w:color="auto"/>
            </w:tcBorders>
            <w:vAlign w:val="center"/>
          </w:tcPr>
          <w:p w14:paraId="0FD89270" w14:textId="77777777" w:rsidR="00A94D7E" w:rsidRPr="00384803" w:rsidRDefault="00A94D7E" w:rsidP="00A94D7E">
            <w:pPr>
              <w:pStyle w:val="ListParagraph"/>
              <w:numPr>
                <w:ilvl w:val="1"/>
                <w:numId w:val="32"/>
              </w:numPr>
              <w:ind w:hanging="578"/>
              <w:rPr>
                <w:rFonts w:eastAsia="Times New Roman" w:cs="Times New Roman"/>
                <w:b/>
                <w:szCs w:val="24"/>
                <w:lang w:eastAsia="lv-LV"/>
              </w:rPr>
            </w:pPr>
          </w:p>
        </w:tc>
        <w:tc>
          <w:tcPr>
            <w:tcW w:w="3679" w:type="pct"/>
            <w:tcBorders>
              <w:top w:val="single" w:sz="4" w:space="0" w:color="auto"/>
              <w:left w:val="single" w:sz="4" w:space="0" w:color="auto"/>
              <w:bottom w:val="single" w:sz="4" w:space="0" w:color="auto"/>
            </w:tcBorders>
            <w:vAlign w:val="center"/>
          </w:tcPr>
          <w:p w14:paraId="6E172E75" w14:textId="00643A21" w:rsidR="00A94D7E" w:rsidRPr="00F619DD" w:rsidRDefault="00A94D7E" w:rsidP="00A94D7E">
            <w:pPr>
              <w:pStyle w:val="ListParagraph"/>
              <w:ind w:left="139"/>
              <w:jc w:val="both"/>
              <w:rPr>
                <w:bCs/>
                <w:szCs w:val="24"/>
              </w:rPr>
            </w:pPr>
            <w:r w:rsidRPr="00F619DD">
              <w:rPr>
                <w:bCs/>
                <w:szCs w:val="24"/>
              </w:rPr>
              <w:t xml:space="preserve">Apdrošināšanas prēmijā ir jābūt iekļautām visām izmaksām, kas saistītas ar Pasūtītāja Apdrošināšanas objekta apdrošināšanas pakalpojuma nodrošināšanu, ieskaitot Polises noformēšanu un piegādi Pasūtītājam uz Tehniskā piedāvājuma </w:t>
            </w:r>
            <w:r>
              <w:rPr>
                <w:bCs/>
                <w:szCs w:val="24"/>
              </w:rPr>
              <w:t>7.2.</w:t>
            </w:r>
            <w:r w:rsidRPr="00F619DD">
              <w:rPr>
                <w:bCs/>
                <w:szCs w:val="24"/>
              </w:rPr>
              <w:t xml:space="preserve">apakšpunktā norādīto Polises piegādes vietu, transporta izmaksas, nodokļus, nodevas, izmaksas nepieciešamo atļauju saņemšanai no trešajām personām, darbaspēka izmaksas, ar Tehniskā piedāvājuma </w:t>
            </w:r>
            <w:r>
              <w:rPr>
                <w:bCs/>
                <w:szCs w:val="24"/>
              </w:rPr>
              <w:t>6.2</w:t>
            </w:r>
            <w:r w:rsidRPr="00F619DD">
              <w:rPr>
                <w:bCs/>
                <w:szCs w:val="24"/>
              </w:rPr>
              <w:t>.apakšpunktā noteikto nosacījumu izpildi saistītās izmaksas, citas ar Līguma savlaicīgu un kvalitatīvu izpildi, un ar apdrošināšanas pakalpojuma savlaicīgu un kvalitatīvu nodrošināšanu saistītas izmaksas.</w:t>
            </w:r>
          </w:p>
          <w:p w14:paraId="0276984D" w14:textId="6CAC1A45" w:rsidR="00A94D7E" w:rsidRPr="009F7357" w:rsidRDefault="00A94D7E" w:rsidP="00A94D7E">
            <w:pPr>
              <w:pStyle w:val="ListParagraph"/>
              <w:ind w:left="139"/>
              <w:jc w:val="both"/>
              <w:rPr>
                <w:bCs/>
                <w:szCs w:val="24"/>
              </w:rPr>
            </w:pPr>
            <w:r w:rsidRPr="0043101D">
              <w:rPr>
                <w:bCs/>
                <w:szCs w:val="24"/>
              </w:rPr>
              <w:t xml:space="preserve">Pievienotās vērtības nodoklis netiek piemērots saskaņā ar Pievienotās vērtības nodokļa likuma 52.panta </w:t>
            </w:r>
            <w:r w:rsidR="00CE4868" w:rsidRPr="0043101D">
              <w:rPr>
                <w:bCs/>
                <w:szCs w:val="24"/>
              </w:rPr>
              <w:t xml:space="preserve">pirmās daļas </w:t>
            </w:r>
            <w:r w:rsidRPr="0043101D">
              <w:rPr>
                <w:bCs/>
                <w:szCs w:val="24"/>
              </w:rPr>
              <w:t>20.punktu.</w:t>
            </w:r>
          </w:p>
        </w:tc>
        <w:tc>
          <w:tcPr>
            <w:tcW w:w="828" w:type="pct"/>
          </w:tcPr>
          <w:p w14:paraId="1ABD6BA3" w14:textId="77777777" w:rsidR="00A94D7E" w:rsidRPr="00326F16" w:rsidRDefault="00A94D7E" w:rsidP="00A94D7E">
            <w:pPr>
              <w:ind w:left="148" w:right="126"/>
              <w:jc w:val="both"/>
              <w:rPr>
                <w:rFonts w:eastAsia="Times New Roman" w:cs="Times New Roman"/>
                <w:szCs w:val="24"/>
                <w:lang w:eastAsia="lv-LV"/>
              </w:rPr>
            </w:pPr>
          </w:p>
        </w:tc>
      </w:tr>
      <w:tr w:rsidR="00A94D7E" w:rsidRPr="00326F16" w14:paraId="2522867D" w14:textId="77777777" w:rsidTr="0043101D">
        <w:trPr>
          <w:gridAfter w:val="1"/>
          <w:wAfter w:w="828" w:type="pct"/>
          <w:trHeight w:val="196"/>
        </w:trPr>
        <w:tc>
          <w:tcPr>
            <w:tcW w:w="493" w:type="pct"/>
            <w:shd w:val="pct15" w:color="auto" w:fill="auto"/>
          </w:tcPr>
          <w:p w14:paraId="786B798B" w14:textId="77777777" w:rsidR="00A94D7E" w:rsidRPr="00326F16" w:rsidRDefault="00A94D7E" w:rsidP="00A94D7E">
            <w:pPr>
              <w:pStyle w:val="ListParagraph"/>
              <w:numPr>
                <w:ilvl w:val="0"/>
                <w:numId w:val="32"/>
              </w:numPr>
              <w:ind w:hanging="578"/>
              <w:rPr>
                <w:rFonts w:eastAsia="Times New Roman" w:cs="Times New Roman"/>
                <w:b/>
                <w:szCs w:val="24"/>
                <w:lang w:eastAsia="lv-LV"/>
              </w:rPr>
            </w:pPr>
          </w:p>
        </w:tc>
        <w:tc>
          <w:tcPr>
            <w:tcW w:w="3679" w:type="pct"/>
            <w:shd w:val="pct15" w:color="auto" w:fill="auto"/>
          </w:tcPr>
          <w:p w14:paraId="4E22B910" w14:textId="0EB3293C" w:rsidR="00A94D7E" w:rsidRPr="00326F16" w:rsidRDefault="00A94D7E" w:rsidP="00A94D7E">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A94D7E" w:rsidRPr="00326F16" w14:paraId="084CF5DD" w14:textId="77777777" w:rsidTr="0043101D">
        <w:trPr>
          <w:gridAfter w:val="1"/>
          <w:wAfter w:w="828" w:type="pct"/>
          <w:trHeight w:val="310"/>
        </w:trPr>
        <w:tc>
          <w:tcPr>
            <w:tcW w:w="493" w:type="pct"/>
            <w:tcBorders>
              <w:top w:val="single" w:sz="4" w:space="0" w:color="auto"/>
            </w:tcBorders>
            <w:vAlign w:val="center"/>
          </w:tcPr>
          <w:p w14:paraId="388E1D90" w14:textId="77777777" w:rsidR="00A94D7E" w:rsidRPr="00384803" w:rsidRDefault="00A94D7E" w:rsidP="00A94D7E">
            <w:pPr>
              <w:pStyle w:val="ListParagraph"/>
              <w:numPr>
                <w:ilvl w:val="1"/>
                <w:numId w:val="32"/>
              </w:numPr>
              <w:ind w:hanging="578"/>
              <w:rPr>
                <w:rFonts w:eastAsia="Times New Roman" w:cs="Times New Roman"/>
                <w:b/>
                <w:szCs w:val="24"/>
                <w:lang w:eastAsia="lv-LV"/>
              </w:rPr>
            </w:pPr>
          </w:p>
        </w:tc>
        <w:tc>
          <w:tcPr>
            <w:tcW w:w="3679" w:type="pct"/>
            <w:tcBorders>
              <w:top w:val="single" w:sz="4" w:space="0" w:color="auto"/>
            </w:tcBorders>
          </w:tcPr>
          <w:p w14:paraId="5F6B0E17" w14:textId="77777777" w:rsidR="00A94D7E" w:rsidRDefault="00A94D7E" w:rsidP="00A94D7E">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A94D7E" w:rsidRPr="00326F16" w:rsidRDefault="00A94D7E" w:rsidP="00A94D7E">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A94D7E" w:rsidRPr="00326F16" w14:paraId="488FAD56" w14:textId="77777777" w:rsidTr="0043101D">
        <w:trPr>
          <w:gridAfter w:val="1"/>
          <w:wAfter w:w="828" w:type="pct"/>
          <w:trHeight w:val="310"/>
        </w:trPr>
        <w:tc>
          <w:tcPr>
            <w:tcW w:w="493" w:type="pct"/>
            <w:tcBorders>
              <w:top w:val="single" w:sz="4" w:space="0" w:color="auto"/>
            </w:tcBorders>
            <w:vAlign w:val="center"/>
          </w:tcPr>
          <w:p w14:paraId="0B80CB59" w14:textId="77777777" w:rsidR="00A94D7E" w:rsidRPr="00384803" w:rsidRDefault="00A94D7E" w:rsidP="00A94D7E">
            <w:pPr>
              <w:pStyle w:val="ListParagraph"/>
              <w:numPr>
                <w:ilvl w:val="1"/>
                <w:numId w:val="32"/>
              </w:numPr>
              <w:ind w:hanging="578"/>
              <w:rPr>
                <w:rFonts w:eastAsia="Times New Roman" w:cs="Times New Roman"/>
                <w:b/>
                <w:szCs w:val="24"/>
                <w:lang w:eastAsia="lv-LV"/>
              </w:rPr>
            </w:pPr>
          </w:p>
        </w:tc>
        <w:tc>
          <w:tcPr>
            <w:tcW w:w="3679" w:type="pct"/>
            <w:tcBorders>
              <w:top w:val="single" w:sz="4" w:space="0" w:color="auto"/>
            </w:tcBorders>
          </w:tcPr>
          <w:p w14:paraId="542041D7" w14:textId="494AEC5A" w:rsidR="00A94D7E" w:rsidRDefault="00A94D7E" w:rsidP="00A94D7E">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A94D7E" w:rsidRPr="00162D66" w:rsidRDefault="00A94D7E" w:rsidP="00A94D7E">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lastRenderedPageBreak/>
              <w:t>Informācija tiks pārbaudīta Valsts ieņēmumu dienesta publiski pieejamā datubāzē.</w:t>
            </w:r>
          </w:p>
        </w:tc>
      </w:tr>
      <w:tr w:rsidR="00A94D7E" w:rsidRPr="00326F16" w14:paraId="21FBC504" w14:textId="77777777" w:rsidTr="0043101D">
        <w:trPr>
          <w:gridAfter w:val="1"/>
          <w:wAfter w:w="828" w:type="pct"/>
          <w:trHeight w:val="310"/>
        </w:trPr>
        <w:tc>
          <w:tcPr>
            <w:tcW w:w="493" w:type="pct"/>
            <w:tcBorders>
              <w:top w:val="single" w:sz="4" w:space="0" w:color="auto"/>
              <w:bottom w:val="single" w:sz="4" w:space="0" w:color="auto"/>
            </w:tcBorders>
            <w:vAlign w:val="center"/>
          </w:tcPr>
          <w:p w14:paraId="4AF98B5E" w14:textId="77777777" w:rsidR="00A94D7E" w:rsidRPr="00384803" w:rsidRDefault="00A94D7E" w:rsidP="00A94D7E">
            <w:pPr>
              <w:pStyle w:val="ListParagraph"/>
              <w:numPr>
                <w:ilvl w:val="1"/>
                <w:numId w:val="32"/>
              </w:numPr>
              <w:ind w:hanging="578"/>
              <w:rPr>
                <w:rFonts w:eastAsia="Times New Roman" w:cs="Times New Roman"/>
                <w:b/>
                <w:szCs w:val="24"/>
                <w:lang w:eastAsia="lv-LV"/>
              </w:rPr>
            </w:pPr>
          </w:p>
        </w:tc>
        <w:tc>
          <w:tcPr>
            <w:tcW w:w="3679" w:type="pct"/>
            <w:tcBorders>
              <w:top w:val="single" w:sz="4" w:space="0" w:color="auto"/>
              <w:bottom w:val="single" w:sz="4" w:space="0" w:color="auto"/>
            </w:tcBorders>
          </w:tcPr>
          <w:p w14:paraId="5603C7D6" w14:textId="77777777" w:rsidR="00A94D7E" w:rsidRDefault="00A94D7E" w:rsidP="00A94D7E">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A94D7E" w:rsidRPr="00326F16" w:rsidRDefault="00A94D7E" w:rsidP="00A94D7E">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2"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2"/>
            <w:r w:rsidRPr="00F86C66">
              <w:rPr>
                <w:rFonts w:eastAsia="Times New Roman" w:cs="Times New Roman"/>
                <w:i/>
                <w:iCs/>
                <w:szCs w:val="24"/>
                <w:lang w:eastAsia="lv-LV"/>
              </w:rPr>
              <w:t xml:space="preserve">. </w:t>
            </w:r>
          </w:p>
        </w:tc>
      </w:tr>
      <w:tr w:rsidR="00CE4868" w:rsidRPr="00326F16" w14:paraId="1CF1D2F3" w14:textId="77777777" w:rsidTr="0043101D">
        <w:trPr>
          <w:gridAfter w:val="1"/>
          <w:wAfter w:w="828" w:type="pct"/>
          <w:trHeight w:val="310"/>
        </w:trPr>
        <w:tc>
          <w:tcPr>
            <w:tcW w:w="493" w:type="pct"/>
            <w:tcBorders>
              <w:top w:val="single" w:sz="4" w:space="0" w:color="auto"/>
              <w:bottom w:val="single" w:sz="4" w:space="0" w:color="auto"/>
            </w:tcBorders>
            <w:vAlign w:val="center"/>
          </w:tcPr>
          <w:p w14:paraId="71C1DA34" w14:textId="77777777" w:rsidR="00CE4868" w:rsidRPr="00384803" w:rsidRDefault="00CE4868" w:rsidP="00A94D7E">
            <w:pPr>
              <w:pStyle w:val="ListParagraph"/>
              <w:numPr>
                <w:ilvl w:val="1"/>
                <w:numId w:val="32"/>
              </w:numPr>
              <w:ind w:hanging="578"/>
              <w:rPr>
                <w:rFonts w:eastAsia="Times New Roman" w:cs="Times New Roman"/>
                <w:b/>
                <w:szCs w:val="24"/>
                <w:lang w:eastAsia="lv-LV"/>
              </w:rPr>
            </w:pPr>
          </w:p>
        </w:tc>
        <w:tc>
          <w:tcPr>
            <w:tcW w:w="3679" w:type="pct"/>
            <w:tcBorders>
              <w:top w:val="single" w:sz="4" w:space="0" w:color="auto"/>
              <w:bottom w:val="single" w:sz="4" w:space="0" w:color="auto"/>
            </w:tcBorders>
          </w:tcPr>
          <w:p w14:paraId="760FC191" w14:textId="681FB650" w:rsidR="00CE4868" w:rsidRPr="00CE4868" w:rsidRDefault="00CE4868" w:rsidP="0043101D">
            <w:pPr>
              <w:tabs>
                <w:tab w:val="left" w:pos="1134"/>
              </w:tabs>
              <w:ind w:right="224"/>
              <w:jc w:val="both"/>
              <w:rPr>
                <w:rFonts w:eastAsia="Times New Roman" w:cs="Times New Roman"/>
                <w:bCs/>
                <w:i/>
                <w:iCs/>
                <w:caps/>
                <w:szCs w:val="24"/>
                <w:lang w:eastAsia="lv-LV"/>
              </w:rPr>
            </w:pPr>
            <w:r w:rsidRPr="00CE4868">
              <w:rPr>
                <w:color w:val="000000"/>
                <w:szCs w:val="24"/>
              </w:rPr>
              <w:t xml:space="preserve">Pretendentam ir jābūt tiesīgam sniegt </w:t>
            </w:r>
            <w:r>
              <w:rPr>
                <w:color w:val="000000"/>
                <w:szCs w:val="24"/>
              </w:rPr>
              <w:t>civiltiesiskās apdrošināšanas</w:t>
            </w:r>
            <w:r w:rsidRPr="00CE4868">
              <w:rPr>
                <w:color w:val="000000"/>
                <w:szCs w:val="24"/>
              </w:rPr>
              <w:t xml:space="preserve"> pakalpojumus </w:t>
            </w:r>
            <w:r>
              <w:rPr>
                <w:color w:val="000000"/>
                <w:szCs w:val="24"/>
              </w:rPr>
              <w:t xml:space="preserve">par izņemtās mantas pārvietošanu </w:t>
            </w:r>
            <w:r w:rsidRPr="00CE4868">
              <w:rPr>
                <w:color w:val="000000"/>
                <w:szCs w:val="24"/>
              </w:rPr>
              <w:t xml:space="preserve">Latvijas Republikas teritorijā. </w:t>
            </w:r>
            <w:r w:rsidRPr="00CE4868">
              <w:rPr>
                <w:i/>
                <w:iCs/>
                <w:color w:val="000000"/>
                <w:szCs w:val="24"/>
              </w:rPr>
              <w:t xml:space="preserve">Pretendentam kopā ar piedāvājumu jāiesniedz: </w:t>
            </w:r>
          </w:p>
          <w:p w14:paraId="34DCFD65" w14:textId="7C2BE9E0" w:rsidR="00CE4868" w:rsidRPr="0043101D" w:rsidRDefault="00CE4868" w:rsidP="0043101D">
            <w:pPr>
              <w:tabs>
                <w:tab w:val="left" w:pos="1108"/>
              </w:tabs>
              <w:ind w:left="135" w:right="224"/>
              <w:jc w:val="both"/>
              <w:rPr>
                <w:i/>
                <w:iCs/>
                <w:color w:val="000000"/>
                <w:szCs w:val="24"/>
              </w:rPr>
            </w:pPr>
            <w:r w:rsidRPr="00065371">
              <w:rPr>
                <w:i/>
                <w:iCs/>
                <w:color w:val="000000"/>
                <w:szCs w:val="24"/>
              </w:rPr>
              <w:t>Latvijas Bankas izsniegtas spēkā esošas licences kopiju</w:t>
            </w:r>
            <w:r>
              <w:rPr>
                <w:i/>
                <w:iCs/>
                <w:color w:val="000000"/>
                <w:szCs w:val="24"/>
              </w:rPr>
              <w:t>, kas apliecina pretendenta tiesības v</w:t>
            </w:r>
            <w:r w:rsidRPr="00065371">
              <w:rPr>
                <w:i/>
                <w:iCs/>
                <w:color w:val="000000"/>
                <w:szCs w:val="24"/>
              </w:rPr>
              <w:t xml:space="preserve">eikt </w:t>
            </w:r>
            <w:r>
              <w:rPr>
                <w:i/>
                <w:iCs/>
                <w:color w:val="000000"/>
                <w:szCs w:val="24"/>
              </w:rPr>
              <w:t xml:space="preserve">civiltiesiskās atbildības apdrošināšanu par izņemtās mantas pārvietošanu </w:t>
            </w:r>
            <w:r w:rsidRPr="00065371">
              <w:rPr>
                <w:i/>
                <w:iCs/>
                <w:color w:val="000000"/>
                <w:szCs w:val="24"/>
              </w:rPr>
              <w:t>vai norāda publiski pieejamu informāciju, kur pasūtītājs bez papildu samaksas varētu pārliecināties par pretendentam izsniegto licenci;</w:t>
            </w:r>
          </w:p>
        </w:tc>
      </w:tr>
      <w:tr w:rsidR="00CE4868" w:rsidRPr="00326F16" w14:paraId="69CF7C59" w14:textId="77777777" w:rsidTr="0043101D">
        <w:trPr>
          <w:gridAfter w:val="1"/>
          <w:wAfter w:w="828" w:type="pct"/>
          <w:trHeight w:val="310"/>
        </w:trPr>
        <w:tc>
          <w:tcPr>
            <w:tcW w:w="493" w:type="pct"/>
            <w:tcBorders>
              <w:top w:val="single" w:sz="4" w:space="0" w:color="auto"/>
              <w:bottom w:val="single" w:sz="4" w:space="0" w:color="auto"/>
            </w:tcBorders>
            <w:vAlign w:val="center"/>
          </w:tcPr>
          <w:p w14:paraId="0826D653" w14:textId="77777777" w:rsidR="00CE4868" w:rsidRPr="00384803" w:rsidRDefault="00CE4868" w:rsidP="00A94D7E">
            <w:pPr>
              <w:pStyle w:val="ListParagraph"/>
              <w:numPr>
                <w:ilvl w:val="1"/>
                <w:numId w:val="32"/>
              </w:numPr>
              <w:ind w:hanging="578"/>
              <w:rPr>
                <w:rFonts w:eastAsia="Times New Roman" w:cs="Times New Roman"/>
                <w:b/>
                <w:szCs w:val="24"/>
                <w:lang w:eastAsia="lv-LV"/>
              </w:rPr>
            </w:pPr>
          </w:p>
        </w:tc>
        <w:tc>
          <w:tcPr>
            <w:tcW w:w="3679" w:type="pct"/>
            <w:tcBorders>
              <w:top w:val="single" w:sz="4" w:space="0" w:color="auto"/>
              <w:bottom w:val="single" w:sz="4" w:space="0" w:color="auto"/>
            </w:tcBorders>
          </w:tcPr>
          <w:p w14:paraId="54F8D9FC" w14:textId="41CC4C73" w:rsidR="00CE4868" w:rsidRPr="00731B68" w:rsidRDefault="00CE4868" w:rsidP="00A94D7E">
            <w:pPr>
              <w:tabs>
                <w:tab w:val="left" w:pos="1108"/>
              </w:tabs>
              <w:ind w:left="135" w:right="83"/>
              <w:jc w:val="both"/>
            </w:pPr>
            <w:r w:rsidRPr="00065371">
              <w:rPr>
                <w:i/>
                <w:iCs/>
                <w:color w:val="000000"/>
                <w:szCs w:val="24"/>
              </w:rPr>
              <w:t>Ārvalstī reģistrēt</w:t>
            </w:r>
            <w:r>
              <w:rPr>
                <w:i/>
                <w:iCs/>
                <w:color w:val="000000"/>
                <w:szCs w:val="24"/>
              </w:rPr>
              <w:t>s</w:t>
            </w:r>
            <w:r w:rsidRPr="00065371">
              <w:rPr>
                <w:i/>
                <w:iCs/>
                <w:color w:val="000000"/>
                <w:szCs w:val="24"/>
              </w:rPr>
              <w:t xml:space="preserve"> pretendent</w:t>
            </w:r>
            <w:r>
              <w:rPr>
                <w:i/>
                <w:iCs/>
                <w:color w:val="000000"/>
                <w:szCs w:val="24"/>
              </w:rPr>
              <w:t>s</w:t>
            </w:r>
            <w:r w:rsidRPr="00065371">
              <w:rPr>
                <w:i/>
                <w:iCs/>
                <w:color w:val="000000"/>
                <w:szCs w:val="24"/>
              </w:rPr>
              <w:t xml:space="preserve"> iesniedz kompetentas attiecīgās valsts institūcijas izsniegta</w:t>
            </w:r>
            <w:r>
              <w:rPr>
                <w:i/>
                <w:iCs/>
                <w:color w:val="000000"/>
                <w:szCs w:val="24"/>
              </w:rPr>
              <w:t xml:space="preserve"> </w:t>
            </w:r>
            <w:r w:rsidRPr="00065371">
              <w:rPr>
                <w:i/>
                <w:iCs/>
                <w:color w:val="000000"/>
                <w:szCs w:val="24"/>
              </w:rPr>
              <w:t xml:space="preserve">dokumenta kopiju, kas apliecina, ka pretendents ir tiesīgs veikt </w:t>
            </w:r>
            <w:r>
              <w:rPr>
                <w:i/>
                <w:iCs/>
                <w:color w:val="000000"/>
                <w:szCs w:val="24"/>
              </w:rPr>
              <w:t xml:space="preserve">civiltiesiskās atbildības apdrošināšanu par izņemtas mantas pārvietošanu </w:t>
            </w:r>
            <w:r w:rsidRPr="00065371">
              <w:rPr>
                <w:i/>
                <w:iCs/>
                <w:color w:val="000000"/>
                <w:szCs w:val="24"/>
              </w:rPr>
              <w:t xml:space="preserve">un apliecinājumu, ka ne vēlāk kā no līguma spēkā stāšanās dienas ārvalstu komersants būs tiesīgs veikt </w:t>
            </w:r>
            <w:r>
              <w:rPr>
                <w:i/>
                <w:iCs/>
                <w:color w:val="000000"/>
                <w:szCs w:val="24"/>
              </w:rPr>
              <w:t xml:space="preserve">civiltiesiskās atbildības apdrošināšanu par izņemtās mantas pārvietošanu </w:t>
            </w:r>
            <w:r w:rsidRPr="00065371">
              <w:rPr>
                <w:i/>
                <w:iCs/>
                <w:color w:val="000000"/>
                <w:szCs w:val="24"/>
              </w:rPr>
              <w:t>Latvijas Republikā.</w:t>
            </w:r>
          </w:p>
        </w:tc>
      </w:tr>
    </w:tbl>
    <w:p w14:paraId="527EB0A9" w14:textId="067CB116"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7777777"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3" w:name="_Hlk141971361"/>
      <w:r w:rsidRPr="00A0540A">
        <w:rPr>
          <w:rFonts w:cs="Times New Roman"/>
          <w:szCs w:val="24"/>
        </w:rPr>
        <w:t>Valsts ieņēmumu dienesta</w:t>
      </w:r>
      <w:r>
        <w:rPr>
          <w:rFonts w:cs="Times New Roman"/>
          <w:szCs w:val="24"/>
        </w:rPr>
        <w:t xml:space="preserve"> </w:t>
      </w:r>
      <w:bookmarkEnd w:id="3"/>
      <w:r>
        <w:rPr>
          <w:rFonts w:cs="Times New Roman"/>
          <w:szCs w:val="24"/>
        </w:rPr>
        <w:t>publiski pieejamās datubāzes,</w:t>
      </w:r>
      <w:r w:rsidRPr="00A0540A">
        <w:rPr>
          <w:rFonts w:cs="Times New Roman"/>
          <w:szCs w:val="24"/>
        </w:rPr>
        <w:t xml:space="preserve"> iegūst informāciju par to, vai pretendentam, </w:t>
      </w:r>
      <w:bookmarkStart w:id="4" w:name="_Hlk141942056"/>
      <w:r w:rsidRPr="00A0540A">
        <w:rPr>
          <w:rFonts w:cs="Times New Roman"/>
          <w:szCs w:val="24"/>
        </w:rPr>
        <w:t xml:space="preserve">kuram būtu piešķiramas Iepirkuma līguma slēgšanas tiesības </w:t>
      </w:r>
      <w:bookmarkEnd w:id="4"/>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7B530CF0" w14:textId="5EA559C7"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5" w:name="_Hlk141972215"/>
      <w:r w:rsidRPr="0037158A">
        <w:rPr>
          <w:rFonts w:cs="Times New Roman"/>
          <w:szCs w:val="24"/>
        </w:rPr>
        <w:t xml:space="preserve">kas kopsummā pārsniedz 150 </w:t>
      </w:r>
      <w:proofErr w:type="spellStart"/>
      <w:r w:rsidRPr="0037158A">
        <w:rPr>
          <w:rFonts w:cs="Times New Roman"/>
          <w:szCs w:val="24"/>
        </w:rPr>
        <w:t>euro</w:t>
      </w:r>
      <w:proofErr w:type="spellEnd"/>
      <w:r w:rsidRPr="0037158A">
        <w:rPr>
          <w:rFonts w:cs="Times New Roman"/>
          <w:szCs w:val="24"/>
        </w:rPr>
        <w:t xml:space="preserve">, </w:t>
      </w:r>
      <w:bookmarkStart w:id="6" w:name="_Hlk141942066"/>
      <w:bookmarkEnd w:id="5"/>
      <w:r w:rsidRPr="0037158A">
        <w:rPr>
          <w:rFonts w:cs="Times New Roman"/>
          <w:szCs w:val="24"/>
        </w:rPr>
        <w:t xml:space="preserve">komisija lūdz 3 (trīs) darbdienu laikā iesniegt </w:t>
      </w:r>
      <w:bookmarkEnd w:id="6"/>
      <w:r w:rsidRPr="0037158A">
        <w:rPr>
          <w:rFonts w:cs="Times New Roman"/>
          <w:szCs w:val="24"/>
        </w:rPr>
        <w:t xml:space="preserve">izdruku no Valsts ieņēmumu dienesta elektroniskās deklarēšanas sistēmas par to, ka </w:t>
      </w:r>
      <w:bookmarkStart w:id="7" w:name="_Hlk141942113"/>
      <w:r w:rsidRPr="0037158A">
        <w:rPr>
          <w:rFonts w:cs="Times New Roman"/>
          <w:szCs w:val="24"/>
        </w:rPr>
        <w:t xml:space="preserve">pretendentam dienā, kad pieņemts lēmums par iespējamu līguma slēgšanas tiesību piešķiršanu, </w:t>
      </w:r>
      <w:bookmarkEnd w:id="7"/>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3C245F3B" w14:textId="5CFE2690" w:rsidR="0037158A" w:rsidRDefault="0037158A" w:rsidP="0037158A">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4A84155E" w14:textId="65206D45" w:rsidR="00716850" w:rsidRDefault="00896B8A" w:rsidP="00CD1BE4">
      <w:pPr>
        <w:pStyle w:val="ListParagraph"/>
        <w:numPr>
          <w:ilvl w:val="1"/>
          <w:numId w:val="1"/>
        </w:numPr>
        <w:tabs>
          <w:tab w:val="left" w:pos="1276"/>
        </w:tabs>
        <w:ind w:left="0" w:firstLine="709"/>
        <w:jc w:val="both"/>
      </w:pPr>
      <w:bookmarkStart w:id="8"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CD1BE4">
        <w:t xml:space="preserve"> </w:t>
      </w:r>
      <w:r w:rsidRPr="00896B8A">
        <w:t xml:space="preserve">komisija </w:t>
      </w:r>
      <w:bookmarkEnd w:id="8"/>
      <w:r w:rsidRPr="00896B8A">
        <w:t>lūdz 3 (trīs) darbdienu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CD1BE4">
        <w:t>,</w:t>
      </w:r>
      <w:r w:rsidR="00006BFE">
        <w:t xml:space="preserve"> nav nodokļu parādu,</w:t>
      </w:r>
      <w:r w:rsidR="00CD1BE4">
        <w:t xml:space="preserve"> </w:t>
      </w:r>
      <w:r w:rsidR="00CD1BE4" w:rsidRPr="00CD1BE4">
        <w:t xml:space="preserve">kas kopsummā pārsniedz 150 </w:t>
      </w:r>
      <w:proofErr w:type="spellStart"/>
      <w:r w:rsidR="00CD1BE4" w:rsidRPr="00CD1BE4">
        <w:t>euro</w:t>
      </w:r>
      <w:proofErr w:type="spellEnd"/>
      <w:r w:rsidR="00CD1BE4" w:rsidRPr="00CD1BE4">
        <w:t xml:space="preserve">, </w:t>
      </w:r>
      <w:r w:rsidR="00C60F0C" w:rsidRPr="00C60F0C">
        <w:t xml:space="preserve"> </w:t>
      </w:r>
      <w:r w:rsidR="00006BFE">
        <w:t>un</w:t>
      </w:r>
      <w:r w:rsidR="00C60F0C" w:rsidRPr="00C60F0C">
        <w:t xml:space="preserve">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280CE5EE" w:rsidR="00892D63" w:rsidRDefault="005E7B1D" w:rsidP="00A73AF7">
      <w:pPr>
        <w:pStyle w:val="ListParagraph"/>
        <w:numPr>
          <w:ilvl w:val="1"/>
          <w:numId w:val="1"/>
        </w:numPr>
        <w:tabs>
          <w:tab w:val="left" w:pos="1276"/>
        </w:tabs>
        <w:ind w:left="0" w:firstLine="709"/>
        <w:jc w:val="both"/>
        <w:rPr>
          <w:bCs/>
        </w:rPr>
      </w:pPr>
      <w:r>
        <w:rPr>
          <w:bCs/>
        </w:rPr>
        <w:lastRenderedPageBreak/>
        <w:t>Komisija</w:t>
      </w:r>
      <w:r w:rsidR="00892D63" w:rsidRPr="00CA283C">
        <w:rPr>
          <w:bCs/>
        </w:rPr>
        <w:t xml:space="preserve"> attiecībā uz </w:t>
      </w:r>
      <w:r w:rsidR="00892D63">
        <w:rPr>
          <w:bCs/>
        </w:rPr>
        <w:t xml:space="preserve">pretendentu, </w:t>
      </w:r>
      <w:bookmarkStart w:id="9" w:name="_Hlk141942561"/>
      <w:r w:rsidR="00892D63">
        <w:rPr>
          <w:bCs/>
        </w:rPr>
        <w:t>kuram</w:t>
      </w:r>
      <w:r w:rsidR="00892D63" w:rsidRPr="00CA283C">
        <w:rPr>
          <w:bCs/>
        </w:rPr>
        <w:t xml:space="preserve"> būtu piešķiramas līguma slēgšanas tiesības</w:t>
      </w:r>
      <w:bookmarkEnd w:id="9"/>
      <w:r w:rsidR="00892D63" w:rsidRPr="00CA283C">
        <w:rPr>
          <w:bCs/>
        </w:rPr>
        <w:t xml:space="preserve">, pārbauda, vai attiecībā uz šo pretendentu, </w:t>
      </w:r>
      <w:r w:rsidR="008D5B93" w:rsidRPr="008D5B93">
        <w:rPr>
          <w:bCs/>
        </w:rPr>
        <w:t>tā dalībnieku</w:t>
      </w:r>
      <w:r w:rsidR="008D5B93">
        <w:rPr>
          <w:bCs/>
        </w:rPr>
        <w:t>,</w:t>
      </w:r>
      <w:r w:rsidR="00892D63" w:rsidRPr="005D5988">
        <w:rPr>
          <w:bCs/>
        </w:rPr>
        <w:t xml:space="preserve"> valdes vai padomes locekli, patieso labuma guvēju, </w:t>
      </w:r>
      <w:proofErr w:type="spellStart"/>
      <w:r w:rsidR="00892D63" w:rsidRPr="005D5988">
        <w:rPr>
          <w:bCs/>
        </w:rPr>
        <w:t>pārstāvēttiesīgo</w:t>
      </w:r>
      <w:proofErr w:type="spellEnd"/>
      <w:r w:rsidR="00892D63"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00892D63" w:rsidRPr="005D5988">
        <w:rPr>
          <w:bCs/>
        </w:rPr>
        <w:t>pārstāvēttiesīgo</w:t>
      </w:r>
      <w:proofErr w:type="spellEnd"/>
      <w:r w:rsidR="00892D63" w:rsidRPr="005D5988">
        <w:rPr>
          <w:bCs/>
        </w:rPr>
        <w:t xml:space="preserve">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52E13E76" w14:textId="6B84CD73" w:rsidR="005E7B1D" w:rsidRPr="005E7B1D" w:rsidRDefault="005E7B1D" w:rsidP="00A73AF7">
      <w:pPr>
        <w:pStyle w:val="ListParagraph"/>
        <w:numPr>
          <w:ilvl w:val="1"/>
          <w:numId w:val="1"/>
        </w:numPr>
        <w:tabs>
          <w:tab w:val="left" w:pos="1276"/>
        </w:tabs>
        <w:ind w:left="0" w:firstLine="709"/>
        <w:jc w:val="both"/>
        <w:rPr>
          <w:rFonts w:eastAsia="Times New Roman" w:cs="Times New Roman"/>
          <w:b/>
          <w:caps/>
          <w:sz w:val="28"/>
          <w:szCs w:val="28"/>
          <w:lang w:eastAsia="lv-LV"/>
        </w:rPr>
      </w:pPr>
      <w:r>
        <w:rPr>
          <w:bCs/>
        </w:rPr>
        <w:t>Komisija</w:t>
      </w:r>
      <w:r w:rsidRPr="006B1AE6">
        <w:rPr>
          <w:bCs/>
        </w:rPr>
        <w:t xml:space="preserve"> </w:t>
      </w:r>
      <w:r>
        <w:rPr>
          <w:bCs/>
        </w:rPr>
        <w:t>2.4. apakšpunktā</w:t>
      </w:r>
      <w:r w:rsidRPr="006B1AE6">
        <w:rPr>
          <w:bCs/>
        </w:rPr>
        <w:t xml:space="preserve"> minēto informāciju iegūst </w:t>
      </w:r>
      <w:r>
        <w:rPr>
          <w:bCs/>
        </w:rPr>
        <w:t xml:space="preserve">no </w:t>
      </w:r>
      <w:r w:rsidRPr="006B1AE6">
        <w:rPr>
          <w:bCs/>
        </w:rPr>
        <w:t xml:space="preserve">Latvijas Republikas </w:t>
      </w:r>
      <w:hyperlink r:id="rId13"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Pr>
          <w:bCs/>
        </w:rPr>
        <w:t>2.4</w:t>
      </w:r>
      <w:r w:rsidRPr="006B1AE6">
        <w:rPr>
          <w:bCs/>
        </w:rPr>
        <w:t xml:space="preserve">. apakšpunktā minētajām </w:t>
      </w:r>
      <w:r w:rsidRPr="009415C8">
        <w:rPr>
          <w:rFonts w:cs="Times New Roman"/>
          <w:bCs/>
          <w:szCs w:val="24"/>
        </w:rPr>
        <w:t>personām vietnē nav publicēta, pretendentam tā jāiesniedz</w:t>
      </w:r>
      <w:r>
        <w:rPr>
          <w:rFonts w:cs="Times New Roman"/>
          <w:bCs/>
          <w:szCs w:val="24"/>
        </w:rPr>
        <w:t>:</w:t>
      </w:r>
    </w:p>
    <w:p w14:paraId="1383C99F" w14:textId="0A28425C" w:rsidR="005E7B1D" w:rsidRPr="005E7B1D" w:rsidRDefault="005E7B1D" w:rsidP="0043101D">
      <w:pPr>
        <w:pStyle w:val="ListParagraph"/>
        <w:numPr>
          <w:ilvl w:val="2"/>
          <w:numId w:val="1"/>
        </w:numPr>
        <w:tabs>
          <w:tab w:val="left" w:pos="1276"/>
        </w:tabs>
        <w:ind w:hanging="505"/>
        <w:jc w:val="both"/>
        <w:rPr>
          <w:rFonts w:eastAsia="Times New Roman" w:cs="Times New Roman"/>
          <w:b/>
          <w:caps/>
          <w:sz w:val="28"/>
          <w:szCs w:val="28"/>
          <w:lang w:eastAsia="lv-LV"/>
        </w:rPr>
      </w:pPr>
      <w:r>
        <w:rPr>
          <w:bCs/>
        </w:rPr>
        <w:t>kopā ar piedāvājumu;</w:t>
      </w:r>
    </w:p>
    <w:p w14:paraId="2DDBA2FA" w14:textId="5E57E274" w:rsidR="005E7B1D" w:rsidRPr="005E7B1D" w:rsidRDefault="005E7B1D" w:rsidP="0043101D">
      <w:pPr>
        <w:pStyle w:val="ListParagraph"/>
        <w:numPr>
          <w:ilvl w:val="2"/>
          <w:numId w:val="1"/>
        </w:numPr>
        <w:tabs>
          <w:tab w:val="left" w:pos="1276"/>
        </w:tabs>
        <w:ind w:hanging="505"/>
        <w:jc w:val="both"/>
        <w:rPr>
          <w:rFonts w:eastAsia="Times New Roman" w:cs="Times New Roman"/>
          <w:b/>
          <w:caps/>
          <w:sz w:val="28"/>
          <w:szCs w:val="28"/>
          <w:lang w:eastAsia="lv-LV"/>
        </w:rPr>
      </w:pPr>
      <w:r>
        <w:rPr>
          <w:rFonts w:cs="Times New Roman"/>
          <w:bCs/>
          <w:szCs w:val="24"/>
        </w:rPr>
        <w:t>3 (trīs</w:t>
      </w:r>
      <w:r w:rsidRPr="009415C8">
        <w:rPr>
          <w:rFonts w:cs="Times New Roman"/>
          <w:bCs/>
          <w:szCs w:val="24"/>
        </w:rPr>
        <w:t>) darbdienu laikā no Komisijas pieprasījuma nosūtīšanas datuma</w:t>
      </w:r>
      <w:r>
        <w:rPr>
          <w:rFonts w:cs="Times New Roman"/>
          <w:bCs/>
          <w:szCs w:val="24"/>
        </w:rPr>
        <w:t>.</w:t>
      </w:r>
    </w:p>
    <w:p w14:paraId="232CA2E6" w14:textId="653C5A8D" w:rsidR="0068632A" w:rsidRDefault="005E7B1D" w:rsidP="0043101D">
      <w:pPr>
        <w:pStyle w:val="ListParagraph"/>
        <w:numPr>
          <w:ilvl w:val="1"/>
          <w:numId w:val="1"/>
        </w:numPr>
        <w:tabs>
          <w:tab w:val="left" w:pos="1276"/>
        </w:tabs>
        <w:ind w:left="0" w:firstLine="709"/>
        <w:jc w:val="both"/>
        <w:rPr>
          <w:rFonts w:eastAsia="Times New Roman" w:cs="Times New Roman"/>
          <w:b/>
          <w:caps/>
          <w:sz w:val="28"/>
          <w:szCs w:val="28"/>
          <w:lang w:eastAsia="lv-LV"/>
        </w:rPr>
      </w:pPr>
      <w:r>
        <w:t xml:space="preserve"> </w:t>
      </w:r>
      <w:r w:rsidRPr="00845338">
        <w:rPr>
          <w:rFonts w:cs="Times New Roman"/>
          <w:szCs w:val="24"/>
          <w:shd w:val="clear" w:color="auto" w:fill="FFFFFF"/>
        </w:rPr>
        <w:t>Izziņas un citus dokumentus, kurus izsniedz Latvijas kompetentās institūcijas, Komisija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r>
        <w:rPr>
          <w:rFonts w:cs="Times New Roman"/>
          <w:color w:val="414142"/>
          <w:szCs w:val="24"/>
          <w:shd w:val="clear" w:color="auto" w:fill="FFFFFF"/>
        </w:rPr>
        <w:t>.</w:t>
      </w:r>
      <w:r w:rsidR="0068632A">
        <w:t xml:space="preserve"> </w:t>
      </w:r>
    </w:p>
    <w:p w14:paraId="4E098E40" w14:textId="77777777" w:rsidR="0037158A" w:rsidRDefault="0037158A" w:rsidP="0037158A">
      <w:pPr>
        <w:jc w:val="center"/>
        <w:rPr>
          <w:rFonts w:eastAsia="Times New Roman" w:cs="Times New Roman"/>
          <w:b/>
          <w:caps/>
          <w:sz w:val="28"/>
          <w:szCs w:val="28"/>
          <w:lang w:eastAsia="lv-LV"/>
        </w:rPr>
      </w:pPr>
    </w:p>
    <w:p w14:paraId="189ED92D" w14:textId="1BA91E42" w:rsidR="00936765" w:rsidRPr="006A176E" w:rsidRDefault="00BA6247" w:rsidP="006A176E">
      <w:pPr>
        <w:pStyle w:val="Heading2"/>
        <w:numPr>
          <w:ilvl w:val="0"/>
          <w:numId w:val="1"/>
        </w:numPr>
        <w:tabs>
          <w:tab w:val="clear" w:pos="567"/>
          <w:tab w:val="left" w:pos="426"/>
        </w:tabs>
        <w:ind w:left="567"/>
        <w:jc w:val="center"/>
        <w:rPr>
          <w:sz w:val="28"/>
          <w:szCs w:val="28"/>
        </w:rPr>
      </w:pPr>
      <w:bookmarkStart w:id="10"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0"/>
    </w:p>
    <w:p w14:paraId="372024F8" w14:textId="77777777" w:rsidR="00FF3D6D" w:rsidRDefault="00936765" w:rsidP="00A94D7E">
      <w:pPr>
        <w:tabs>
          <w:tab w:val="left" w:pos="709"/>
          <w:tab w:val="left" w:pos="1560"/>
          <w:tab w:val="center" w:pos="4320"/>
          <w:tab w:val="left" w:pos="6096"/>
          <w:tab w:val="right" w:pos="8640"/>
        </w:tabs>
        <w:ind w:right="-1" w:firstLine="709"/>
        <w:jc w:val="both"/>
      </w:pPr>
      <w:r>
        <w:rPr>
          <w:b/>
        </w:rPr>
        <w:t>3</w:t>
      </w:r>
      <w:r w:rsidRPr="006B1729">
        <w:rPr>
          <w:b/>
        </w:rPr>
        <w:t xml:space="preserve">.1. </w:t>
      </w:r>
      <w:r w:rsidRPr="006B1729">
        <w:t>Komisija par iepirkuma</w:t>
      </w:r>
      <w:r w:rsidRPr="00936765">
        <w:t xml:space="preserve"> uzvarētāju atzīst to pretendentu, kura </w:t>
      </w:r>
      <w:r w:rsidRPr="006B1729">
        <w:t>piedāvājums atbilst pretendenta piedāvājumā norādītajām prasībām un kura piedāvājuma cena ir viszemākā.</w:t>
      </w:r>
    </w:p>
    <w:p w14:paraId="2119767D" w14:textId="31F17A46" w:rsidR="00936765" w:rsidRDefault="00936765" w:rsidP="00A94D7E">
      <w:pPr>
        <w:tabs>
          <w:tab w:val="left" w:pos="709"/>
          <w:tab w:val="left" w:pos="1560"/>
          <w:tab w:val="center" w:pos="4320"/>
          <w:tab w:val="left" w:pos="6096"/>
          <w:tab w:val="right" w:pos="8640"/>
        </w:tabs>
        <w:ind w:right="-1" w:firstLine="709"/>
        <w:jc w:val="both"/>
        <w:rPr>
          <w:lang w:eastAsia="lv-LV"/>
        </w:rPr>
      </w:pPr>
      <w:r>
        <w:rPr>
          <w:b/>
          <w:bCs/>
        </w:rPr>
        <w:t>3</w:t>
      </w:r>
      <w:r w:rsidRPr="00936765">
        <w:rPr>
          <w:b/>
          <w:bCs/>
        </w:rPr>
        <w:t>.</w:t>
      </w:r>
      <w:r w:rsidR="00A94D7E">
        <w:rPr>
          <w:b/>
          <w:bCs/>
        </w:rPr>
        <w:t>2</w:t>
      </w:r>
      <w:r w:rsidRPr="00936765">
        <w:rPr>
          <w:b/>
          <w:bCs/>
        </w:rPr>
        <w:t>.</w:t>
      </w:r>
      <w:r>
        <w:rPr>
          <w:i/>
        </w:rPr>
        <w:t xml:space="preserve"> </w:t>
      </w:r>
      <w:r w:rsidR="0043101D" w:rsidRPr="0043101D">
        <w:rPr>
          <w:lang w:eastAsia="lv-LV"/>
        </w:rPr>
        <w:t>4.</w:t>
      </w:r>
      <w:r w:rsidR="0043101D" w:rsidRPr="0043101D">
        <w:rPr>
          <w:lang w:eastAsia="lv-LV"/>
        </w:rPr>
        <w:tab/>
        <w:t>Gadījumā, ja vairāki pretendenti piedāvā vienādu finanšu piedāvājuma zemāko cenu, līguma slēgšanas tiesības tiek piešķirtas pretendentam, kurš piedāvā “Tehniskais piedāvājums” 6.2.apakšpunktā noteikto lielāko pagarinātā zaudējumu pieteikšanas periodu (mēnešos) .</w:t>
      </w:r>
    </w:p>
    <w:p w14:paraId="370DA05A" w14:textId="77777777" w:rsidR="006A176E" w:rsidRDefault="006A176E" w:rsidP="006A176E">
      <w:pPr>
        <w:rPr>
          <w:lang w:eastAsia="lv-LV"/>
        </w:rPr>
      </w:pP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6A176E">
        <w:rPr>
          <w:rFonts w:ascii="Times New Roman Bold" w:hAnsi="Times New Roman Bold"/>
          <w:caps/>
          <w:sz w:val="28"/>
          <w:szCs w:val="28"/>
        </w:rPr>
        <w:t>Finanšu piedāvājums</w:t>
      </w:r>
    </w:p>
    <w:p w14:paraId="48700729" w14:textId="50C685BE" w:rsidR="00A259CA" w:rsidRPr="00B66D1E" w:rsidRDefault="00B66D1E" w:rsidP="00B66D1E">
      <w:pPr>
        <w:jc w:val="right"/>
        <w:rPr>
          <w:rFonts w:eastAsia="Times New Roman" w:cs="Times New Roman"/>
          <w:i/>
          <w:iCs/>
          <w:szCs w:val="24"/>
          <w:lang w:eastAsia="lv-LV"/>
        </w:rPr>
      </w:pPr>
      <w:r w:rsidRPr="00B66D1E">
        <w:rPr>
          <w:i/>
          <w:iCs/>
          <w:szCs w:val="24"/>
        </w:rPr>
        <w:t>3.tabula</w:t>
      </w:r>
    </w:p>
    <w:tbl>
      <w:tblPr>
        <w:tblStyle w:val="TableGrid1"/>
        <w:tblW w:w="0" w:type="auto"/>
        <w:tblCellMar>
          <w:left w:w="0" w:type="dxa"/>
          <w:right w:w="0" w:type="dxa"/>
        </w:tblCellMar>
        <w:tblLook w:val="04A0" w:firstRow="1" w:lastRow="0" w:firstColumn="1" w:lastColumn="0" w:noHBand="0" w:noVBand="1"/>
      </w:tblPr>
      <w:tblGrid>
        <w:gridCol w:w="664"/>
        <w:gridCol w:w="4820"/>
        <w:gridCol w:w="3577"/>
      </w:tblGrid>
      <w:tr w:rsidR="001D7F8C" w:rsidRPr="00326F16" w14:paraId="0A9468AE" w14:textId="77777777" w:rsidTr="007E2B85">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F7EDF" w14:textId="77777777" w:rsidR="00A259CA" w:rsidRPr="00326F16" w:rsidRDefault="00A259CA" w:rsidP="00FF470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Nr. p.k.</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2F5B9" w14:textId="2A14E2AE" w:rsidR="00A259CA" w:rsidRPr="00326F16" w:rsidRDefault="00A259CA" w:rsidP="00FF470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Iepirkuma priekšmets</w:t>
            </w:r>
          </w:p>
        </w:tc>
        <w:tc>
          <w:tcPr>
            <w:tcW w:w="3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D98357" w14:textId="14290FFD" w:rsidR="007E2B85" w:rsidRPr="00326F16" w:rsidRDefault="00A259CA" w:rsidP="007E2B85">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 xml:space="preserve">Cena </w:t>
            </w:r>
          </w:p>
          <w:p w14:paraId="31905EDF" w14:textId="5C37501E" w:rsidR="00A259CA" w:rsidRPr="00326F16" w:rsidRDefault="00A259CA" w:rsidP="008C228A">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EUR bez PVN</w:t>
            </w:r>
          </w:p>
        </w:tc>
      </w:tr>
      <w:tr w:rsidR="008C228A" w:rsidRPr="00326F16" w14:paraId="7284DAF9" w14:textId="77777777" w:rsidTr="007E2B85">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7A80A29D" w14:textId="77777777" w:rsidR="00A259CA" w:rsidRPr="00326F16" w:rsidRDefault="00A259CA" w:rsidP="008C228A">
            <w:pPr>
              <w:ind w:right="101"/>
              <w:jc w:val="center"/>
              <w:rPr>
                <w:rFonts w:ascii="Times New Roman" w:eastAsia="Times New Roman" w:hAnsi="Times New Roman" w:cs="Times New Roman"/>
                <w:sz w:val="24"/>
                <w:szCs w:val="24"/>
              </w:rPr>
            </w:pPr>
            <w:r w:rsidRPr="00326F16">
              <w:rPr>
                <w:rFonts w:ascii="Times New Roman" w:eastAsia="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vAlign w:val="center"/>
          </w:tcPr>
          <w:p w14:paraId="33EB6536" w14:textId="69DCAAA7" w:rsidR="00A259CA" w:rsidRPr="00845338" w:rsidRDefault="006F0110" w:rsidP="008C228A">
            <w:pPr>
              <w:ind w:left="49" w:right="101"/>
              <w:jc w:val="both"/>
              <w:rPr>
                <w:rFonts w:ascii="Times New Roman" w:hAnsi="Times New Roman" w:cs="Times New Roman"/>
                <w:iCs/>
                <w:sz w:val="24"/>
                <w:szCs w:val="24"/>
              </w:rPr>
            </w:pPr>
            <w:r w:rsidRPr="00845338">
              <w:rPr>
                <w:rFonts w:ascii="Times New Roman" w:hAnsi="Times New Roman" w:cs="Times New Roman"/>
                <w:iCs/>
                <w:szCs w:val="24"/>
              </w:rPr>
              <w:t xml:space="preserve">Polises prēmija uz 1 (vienu) gadu </w:t>
            </w:r>
          </w:p>
        </w:tc>
        <w:tc>
          <w:tcPr>
            <w:tcW w:w="3577" w:type="dxa"/>
            <w:tcBorders>
              <w:top w:val="single" w:sz="4" w:space="0" w:color="auto"/>
              <w:left w:val="single" w:sz="4" w:space="0" w:color="auto"/>
              <w:bottom w:val="single" w:sz="4" w:space="0" w:color="auto"/>
              <w:right w:val="single" w:sz="4" w:space="0" w:color="auto"/>
            </w:tcBorders>
            <w:vAlign w:val="center"/>
          </w:tcPr>
          <w:p w14:paraId="68968BFA" w14:textId="77777777" w:rsidR="00A259CA" w:rsidRPr="00326F16" w:rsidRDefault="00A259CA" w:rsidP="008C228A">
            <w:pPr>
              <w:jc w:val="center"/>
              <w:rPr>
                <w:rFonts w:ascii="Times New Roman" w:eastAsia="Times New Roman" w:hAnsi="Times New Roman" w:cs="Times New Roman"/>
                <w:sz w:val="24"/>
                <w:szCs w:val="24"/>
              </w:rPr>
            </w:pPr>
          </w:p>
        </w:tc>
      </w:tr>
      <w:tr w:rsidR="0090677C" w:rsidRPr="00326F16" w14:paraId="35B076EF" w14:textId="77777777" w:rsidTr="007E2B85">
        <w:trPr>
          <w:trHeight w:val="330"/>
        </w:trPr>
        <w:tc>
          <w:tcPr>
            <w:tcW w:w="54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92816E" w14:textId="77777777" w:rsidR="0090677C" w:rsidRPr="00326F16" w:rsidRDefault="0090677C" w:rsidP="0090677C">
            <w:pPr>
              <w:ind w:left="49" w:right="101"/>
              <w:jc w:val="right"/>
              <w:rPr>
                <w:rFonts w:ascii="Times New Roman" w:hAnsi="Times New Roman" w:cs="Times New Roman"/>
                <w:b/>
                <w:sz w:val="24"/>
                <w:szCs w:val="24"/>
              </w:rPr>
            </w:pPr>
            <w:r w:rsidRPr="00326F16">
              <w:rPr>
                <w:rFonts w:ascii="Times New Roman" w:hAnsi="Times New Roman" w:cs="Times New Roman"/>
                <w:b/>
                <w:sz w:val="24"/>
                <w:szCs w:val="24"/>
              </w:rPr>
              <w:t>Kopā EUR bez PVN:</w:t>
            </w:r>
          </w:p>
        </w:tc>
        <w:tc>
          <w:tcPr>
            <w:tcW w:w="3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C1EA4" w14:textId="77777777" w:rsidR="0090677C" w:rsidRPr="00326F16" w:rsidRDefault="0090677C" w:rsidP="0090677C">
            <w:pPr>
              <w:jc w:val="right"/>
              <w:rPr>
                <w:rFonts w:ascii="Times New Roman" w:eastAsia="Times New Roman" w:hAnsi="Times New Roman" w:cs="Times New Roman"/>
                <w:b/>
                <w:sz w:val="24"/>
                <w:szCs w:val="24"/>
              </w:rPr>
            </w:pPr>
          </w:p>
        </w:tc>
      </w:tr>
    </w:tbl>
    <w:p w14:paraId="4DCF8451" w14:textId="77777777" w:rsidR="00A259CA" w:rsidRPr="00326F16" w:rsidRDefault="00A259CA" w:rsidP="00D01AAD">
      <w:pPr>
        <w:ind w:left="360"/>
        <w:jc w:val="right"/>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0AEB1CB0" w:rsidR="00FB2753" w:rsidRPr="00326F16"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5AD38B29" w14:textId="0B1FEA94" w:rsidR="00805617"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Pretendenta </w:t>
      </w:r>
      <w:r w:rsidR="0042318C" w:rsidRPr="00326F16">
        <w:rPr>
          <w:rFonts w:cs="Times New Roman"/>
          <w:szCs w:val="24"/>
        </w:rPr>
        <w:t xml:space="preserve">iesniegtajā </w:t>
      </w:r>
      <w:r w:rsidR="00805617" w:rsidRPr="00326F16">
        <w:rPr>
          <w:rFonts w:eastAsia="Times New Roman" w:cs="Times New Roman"/>
          <w:szCs w:val="24"/>
          <w:lang w:eastAsia="lv-LV"/>
        </w:rPr>
        <w:t>finanšu piedāvājumā norādītā cena kopā EUR bez PVN</w:t>
      </w:r>
      <w:r w:rsidR="00BC6432">
        <w:rPr>
          <w:rFonts w:eastAsia="Times New Roman" w:cs="Times New Roman"/>
          <w:szCs w:val="24"/>
          <w:lang w:eastAsia="lv-LV"/>
        </w:rPr>
        <w:t xml:space="preserve"> </w:t>
      </w:r>
      <w:proofErr w:type="spellStart"/>
      <w:r w:rsidR="00805617" w:rsidRPr="00326F16">
        <w:rPr>
          <w:rFonts w:eastAsia="Times New Roman" w:cs="Times New Roman"/>
          <w:i/>
          <w:szCs w:val="24"/>
          <w:lang w:eastAsia="lv-LV"/>
        </w:rPr>
        <w:t>veidosEUR</w:t>
      </w:r>
      <w:proofErr w:type="spellEnd"/>
      <w:r w:rsidR="00805617" w:rsidRPr="00326F16">
        <w:rPr>
          <w:rFonts w:eastAsia="Times New Roman" w:cs="Times New Roman"/>
          <w:i/>
          <w:szCs w:val="24"/>
          <w:lang w:eastAsia="lv-LV"/>
        </w:rPr>
        <w:t xml:space="preserve"> bez PVN</w:t>
      </w:r>
      <w:r w:rsidR="00F61D38" w:rsidRPr="00326F16">
        <w:rPr>
          <w:rFonts w:eastAsia="Times New Roman" w:cs="Times New Roman"/>
          <w:i/>
          <w:szCs w:val="24"/>
          <w:lang w:eastAsia="lv-LV"/>
        </w:rPr>
        <w:t xml:space="preserve"> un</w:t>
      </w:r>
      <w:r w:rsidR="00805617" w:rsidRPr="00326F16">
        <w:rPr>
          <w:rFonts w:eastAsia="Times New Roman" w:cs="Times New Roman"/>
          <w:i/>
          <w:szCs w:val="24"/>
          <w:lang w:eastAsia="lv-LV"/>
        </w:rPr>
        <w:t xml:space="preserve"> tiks izmantota piedāvājum</w:t>
      </w:r>
      <w:r w:rsidR="00E910F0" w:rsidRPr="00326F16">
        <w:rPr>
          <w:rFonts w:eastAsia="Times New Roman" w:cs="Times New Roman"/>
          <w:i/>
          <w:szCs w:val="24"/>
          <w:lang w:eastAsia="lv-LV"/>
        </w:rPr>
        <w:t>a ar viszemāko cenu noteikšanai</w:t>
      </w:r>
      <w:r w:rsidR="00B674E6">
        <w:rPr>
          <w:rFonts w:eastAsia="Times New Roman" w:cs="Times New Roman"/>
          <w:szCs w:val="24"/>
          <w:lang w:eastAsia="lv-LV"/>
        </w:rPr>
        <w:t>.</w:t>
      </w:r>
    </w:p>
    <w:p w14:paraId="084F22ED" w14:textId="67398AB1" w:rsidR="006F41DC" w:rsidRDefault="006F41DC" w:rsidP="006F41DC">
      <w:pPr>
        <w:tabs>
          <w:tab w:val="left" w:pos="1134"/>
        </w:tabs>
        <w:jc w:val="both"/>
        <w:rPr>
          <w:rFonts w:eastAsia="Times New Roman" w:cs="Times New Roman"/>
          <w:szCs w:val="24"/>
          <w:lang w:eastAsia="lv-LV"/>
        </w:rPr>
      </w:pPr>
    </w:p>
    <w:p w14:paraId="258A898F" w14:textId="77777777" w:rsidR="006A176E" w:rsidRDefault="006A176E" w:rsidP="006F41DC">
      <w:pPr>
        <w:tabs>
          <w:tab w:val="left" w:pos="1134"/>
        </w:tabs>
        <w:jc w:val="both"/>
        <w:rPr>
          <w:rFonts w:eastAsia="Times New Roman" w:cs="Times New Roman"/>
          <w:szCs w:val="24"/>
          <w:lang w:eastAsia="lv-LV"/>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r w:rsidRPr="00280158">
        <w:rPr>
          <w:rFonts w:eastAsia="Times New Roman" w:cs="Times New Roman"/>
          <w:b/>
          <w:bCs/>
          <w:sz w:val="28"/>
          <w:szCs w:val="28"/>
          <w:lang w:eastAsia="lv-LV"/>
        </w:rPr>
        <w:t>NOSACĪJUMI PIEDĀVĀJUMA IESNIEGŠANAI</w:t>
      </w:r>
    </w:p>
    <w:p w14:paraId="096F106C" w14:textId="77777777" w:rsidR="006F41DC" w:rsidRPr="005200F3" w:rsidRDefault="006F41DC" w:rsidP="005200F3">
      <w:pPr>
        <w:tabs>
          <w:tab w:val="left" w:pos="1134"/>
        </w:tabs>
        <w:jc w:val="both"/>
        <w:rPr>
          <w:rFonts w:eastAsia="Times New Roman" w:cs="Times New Roman"/>
          <w:szCs w:val="24"/>
          <w:lang w:eastAsia="lv-LV"/>
        </w:rPr>
      </w:pPr>
    </w:p>
    <w:p w14:paraId="0C8C29D1" w14:textId="2C76BF91" w:rsidR="006A176E" w:rsidRPr="002221B8" w:rsidRDefault="006A176E" w:rsidP="005200F3">
      <w:pPr>
        <w:pStyle w:val="ListParagraph"/>
        <w:numPr>
          <w:ilvl w:val="0"/>
          <w:numId w:val="36"/>
        </w:numPr>
        <w:tabs>
          <w:tab w:val="left" w:pos="1134"/>
        </w:tabs>
        <w:ind w:left="0" w:firstLine="709"/>
        <w:jc w:val="both"/>
        <w:rPr>
          <w:b/>
          <w:bCs/>
          <w:szCs w:val="24"/>
        </w:rPr>
      </w:pPr>
      <w:r w:rsidRPr="002221B8">
        <w:rPr>
          <w:b/>
          <w:bCs/>
          <w:szCs w:val="24"/>
        </w:rPr>
        <w:t>Piedāvājumu pretendents var iesniegt līdz 202</w:t>
      </w:r>
      <w:r w:rsidR="005E7B1D">
        <w:rPr>
          <w:b/>
          <w:bCs/>
          <w:szCs w:val="24"/>
        </w:rPr>
        <w:t>4</w:t>
      </w:r>
      <w:r w:rsidRPr="002221B8">
        <w:rPr>
          <w:b/>
          <w:bCs/>
          <w:szCs w:val="24"/>
        </w:rPr>
        <w:t xml:space="preserve">. gada </w:t>
      </w:r>
      <w:r w:rsidR="0043101D">
        <w:rPr>
          <w:b/>
          <w:bCs/>
          <w:szCs w:val="24"/>
        </w:rPr>
        <w:t>2.aprīlim</w:t>
      </w:r>
      <w:r w:rsidR="0043101D" w:rsidRPr="002221B8">
        <w:rPr>
          <w:b/>
          <w:bCs/>
          <w:szCs w:val="24"/>
        </w:rPr>
        <w:t xml:space="preserve"> </w:t>
      </w:r>
      <w:r w:rsidRPr="002221B8">
        <w:rPr>
          <w:b/>
          <w:bCs/>
          <w:szCs w:val="24"/>
        </w:rPr>
        <w:t xml:space="preserve">plkst. 10.00, nosūtot piedāvājumu uz elektroniskā pasta adresi: </w:t>
      </w:r>
      <w:r w:rsidR="005200F3">
        <w:rPr>
          <w:b/>
          <w:bCs/>
          <w:szCs w:val="24"/>
        </w:rPr>
        <w:t>gunta.borisevica</w:t>
      </w:r>
      <w:r w:rsidRPr="002221B8">
        <w:rPr>
          <w:b/>
          <w:bCs/>
          <w:szCs w:val="24"/>
        </w:rPr>
        <w:t>@vid.gov.lv</w:t>
      </w:r>
      <w:r w:rsidR="005200F3">
        <w:rPr>
          <w:b/>
          <w:bCs/>
          <w:szCs w:val="24"/>
        </w:rPr>
        <w:t xml:space="preserve"> un liga.pudane</w:t>
      </w:r>
      <w:r w:rsidR="005200F3" w:rsidRPr="002221B8">
        <w:rPr>
          <w:b/>
          <w:bCs/>
          <w:szCs w:val="24"/>
        </w:rPr>
        <w:t>@vid.gov.lv</w:t>
      </w:r>
      <w:r w:rsidRPr="002221B8">
        <w:rPr>
          <w:b/>
          <w:bCs/>
          <w:szCs w:val="24"/>
        </w:rPr>
        <w:t xml:space="preserve">. </w:t>
      </w:r>
    </w:p>
    <w:p w14:paraId="782CEA40"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szCs w:val="24"/>
        </w:rPr>
        <w:lastRenderedPageBreak/>
        <w:t>Pēc piedāvājuma iesniegšanas termiņa beigām pretendentam nav tiesību mainīt savu piedāvājumu.</w:t>
      </w:r>
    </w:p>
    <w:p w14:paraId="6E0CECE2" w14:textId="42920D56"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Piedāvājumam  jābūt aizsargātam, izmantojot šifrēšanu.</w:t>
      </w:r>
      <w:r w:rsidR="006963E1">
        <w:rPr>
          <w:rFonts w:eastAsia="Times New Roman" w:cs="Times New Roman"/>
          <w:szCs w:val="24"/>
          <w:lang w:eastAsia="lv-LV"/>
        </w:rPr>
        <w:t xml:space="preserve"> Instrukciju skat. 1.pielikumā.</w:t>
      </w:r>
      <w:r w:rsidRPr="006F41DC">
        <w:rPr>
          <w:rFonts w:eastAsia="Times New Roman" w:cs="Times New Roman"/>
          <w:szCs w:val="24"/>
          <w:lang w:eastAsia="lv-LV"/>
        </w:rPr>
        <w:t xml:space="preserve"> </w:t>
      </w:r>
    </w:p>
    <w:p w14:paraId="00E88328" w14:textId="43E9C119" w:rsidR="006A176E" w:rsidRPr="002221B8" w:rsidRDefault="006A176E" w:rsidP="006A176E">
      <w:pPr>
        <w:pStyle w:val="ListParagraph"/>
        <w:numPr>
          <w:ilvl w:val="0"/>
          <w:numId w:val="36"/>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Piedāvājuma iesniedzējs 202</w:t>
      </w:r>
      <w:r w:rsidR="005E7B1D">
        <w:rPr>
          <w:rFonts w:eastAsia="Times New Roman" w:cs="Times New Roman"/>
          <w:b/>
          <w:bCs/>
          <w:szCs w:val="24"/>
          <w:lang w:eastAsia="lv-LV"/>
        </w:rPr>
        <w:t>4</w:t>
      </w:r>
      <w:r w:rsidRPr="002221B8">
        <w:rPr>
          <w:rFonts w:eastAsia="Times New Roman" w:cs="Times New Roman"/>
          <w:b/>
          <w:bCs/>
          <w:szCs w:val="24"/>
          <w:lang w:eastAsia="lv-LV"/>
        </w:rPr>
        <w:t xml:space="preserve">. gada </w:t>
      </w:r>
      <w:r w:rsidR="0043101D">
        <w:rPr>
          <w:rFonts w:eastAsia="Times New Roman" w:cs="Times New Roman"/>
          <w:b/>
          <w:bCs/>
          <w:szCs w:val="24"/>
          <w:lang w:eastAsia="lv-LV"/>
        </w:rPr>
        <w:t>2.aprīlī</w:t>
      </w:r>
      <w:r w:rsidR="0043101D" w:rsidRPr="002221B8">
        <w:rPr>
          <w:rFonts w:eastAsia="Times New Roman" w:cs="Times New Roman"/>
          <w:b/>
          <w:bCs/>
          <w:szCs w:val="24"/>
          <w:lang w:eastAsia="lv-LV"/>
        </w:rPr>
        <w:t xml:space="preserve"> </w:t>
      </w:r>
      <w:r w:rsidRPr="002221B8">
        <w:rPr>
          <w:rFonts w:eastAsia="Times New Roman" w:cs="Times New Roman"/>
          <w:b/>
          <w:bCs/>
          <w:szCs w:val="24"/>
          <w:lang w:eastAsia="lv-LV"/>
        </w:rPr>
        <w:t xml:space="preserve">no plkst. 10.00 līdz plkst. 11.00 </w:t>
      </w:r>
      <w:proofErr w:type="spellStart"/>
      <w:r w:rsidRPr="002221B8">
        <w:rPr>
          <w:rFonts w:eastAsia="Times New Roman" w:cs="Times New Roman"/>
          <w:b/>
          <w:bCs/>
          <w:szCs w:val="24"/>
          <w:lang w:eastAsia="lv-LV"/>
        </w:rPr>
        <w:t>nosūta</w:t>
      </w:r>
      <w:proofErr w:type="spellEnd"/>
      <w:r w:rsidRPr="002221B8">
        <w:rPr>
          <w:rFonts w:eastAsia="Times New Roman" w:cs="Times New Roman"/>
          <w:b/>
          <w:bCs/>
          <w:szCs w:val="24"/>
          <w:lang w:eastAsia="lv-LV"/>
        </w:rPr>
        <w:t xml:space="preserve"> uz elektronisko pasta adresi</w:t>
      </w:r>
      <w:r w:rsidR="005200F3" w:rsidRPr="005200F3">
        <w:rPr>
          <w:b/>
          <w:bCs/>
          <w:szCs w:val="24"/>
        </w:rPr>
        <w:t xml:space="preserve"> </w:t>
      </w:r>
      <w:r w:rsidR="005200F3">
        <w:rPr>
          <w:b/>
          <w:bCs/>
          <w:szCs w:val="24"/>
        </w:rPr>
        <w:t>gunta.borisevica</w:t>
      </w:r>
      <w:r w:rsidR="005200F3" w:rsidRPr="002221B8">
        <w:rPr>
          <w:b/>
          <w:bCs/>
          <w:szCs w:val="24"/>
        </w:rPr>
        <w:t>@vid.gov.lv</w:t>
      </w:r>
      <w:r w:rsidR="005200F3">
        <w:rPr>
          <w:b/>
          <w:bCs/>
          <w:szCs w:val="24"/>
        </w:rPr>
        <w:t xml:space="preserve"> un liga.pudane</w:t>
      </w:r>
      <w:r w:rsidR="005200F3" w:rsidRPr="002221B8">
        <w:rPr>
          <w:b/>
          <w:bCs/>
          <w:szCs w:val="24"/>
        </w:rPr>
        <w:t>@vid.gov.lv</w:t>
      </w:r>
      <w:r w:rsidR="005200F3" w:rsidRPr="002221B8" w:rsidDel="005200F3">
        <w:rPr>
          <w:rFonts w:eastAsia="Times New Roman" w:cs="Times New Roman"/>
          <w:b/>
          <w:bCs/>
          <w:szCs w:val="24"/>
          <w:lang w:eastAsia="lv-LV"/>
        </w:rPr>
        <w:t xml:space="preserve"> </w:t>
      </w:r>
      <w:r w:rsidRPr="002221B8">
        <w:rPr>
          <w:rFonts w:eastAsia="Times New Roman" w:cs="Times New Roman"/>
          <w:b/>
          <w:bCs/>
          <w:szCs w:val="24"/>
          <w:lang w:eastAsia="lv-LV"/>
        </w:rPr>
        <w:t xml:space="preserve">paroli (šifru) šifrētā piedāvājuma atvēršanai. </w:t>
      </w:r>
    </w:p>
    <w:p w14:paraId="72FC3C1E" w14:textId="54277EF3"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 xml:space="preserve">Piedāvājumu, kas nav iesniegts noteiktajā kārtībā vai kas ir iesniegts nešifrētā veidā un/vai kuram </w:t>
      </w:r>
      <w:r w:rsidR="006963E1">
        <w:rPr>
          <w:rFonts w:eastAsia="Times New Roman" w:cs="Times New Roman"/>
          <w:szCs w:val="24"/>
          <w:lang w:eastAsia="lv-LV"/>
        </w:rPr>
        <w:t xml:space="preserve">šīs sadaļas </w:t>
      </w:r>
      <w:r w:rsidR="00395A23">
        <w:rPr>
          <w:rFonts w:eastAsia="Times New Roman" w:cs="Times New Roman"/>
          <w:szCs w:val="24"/>
          <w:lang w:eastAsia="lv-LV"/>
        </w:rPr>
        <w:t>5</w:t>
      </w:r>
      <w:r w:rsidRPr="006F41DC">
        <w:rPr>
          <w:rFonts w:eastAsia="Times New Roman" w:cs="Times New Roman"/>
          <w:szCs w:val="24"/>
          <w:lang w:eastAsia="lv-LV"/>
        </w:rPr>
        <w:t>.punktā noteiktajā termiņā nav atsūtīta parole, Pasūtītājs neizskata.</w:t>
      </w:r>
    </w:p>
    <w:p w14:paraId="57B29A88" w14:textId="0A98213F" w:rsidR="005E7B1D" w:rsidRDefault="005E7B1D" w:rsidP="006A176E">
      <w:pPr>
        <w:pStyle w:val="ListParagraph"/>
        <w:numPr>
          <w:ilvl w:val="0"/>
          <w:numId w:val="36"/>
        </w:numPr>
        <w:tabs>
          <w:tab w:val="left" w:pos="1134"/>
        </w:tabs>
        <w:ind w:left="0" w:firstLine="709"/>
        <w:jc w:val="both"/>
        <w:rPr>
          <w:rFonts w:eastAsia="Times New Roman" w:cs="Times New Roman"/>
          <w:szCs w:val="24"/>
          <w:lang w:eastAsia="lv-LV"/>
        </w:rPr>
      </w:pPr>
      <w:r w:rsidRPr="00D16C44">
        <w:rPr>
          <w:szCs w:val="24"/>
        </w:rPr>
        <w:t xml:space="preserve">Aicinām pretendentu pēc piedāvājuma nosūtīšanas pārliecināties vai tiek saņemta atbilde, </w:t>
      </w:r>
      <w:r w:rsidRPr="00D16C44">
        <w:rPr>
          <w:iCs/>
          <w:szCs w:val="24"/>
        </w:rPr>
        <w:t xml:space="preserve">kas apliecina piedāvājuma saņemšanu. Atbildes nesaņemšanas gadījumā zvanīt – </w:t>
      </w:r>
      <w:r w:rsidR="00395A23" w:rsidRPr="00845338">
        <w:rPr>
          <w:iCs/>
          <w:szCs w:val="24"/>
        </w:rPr>
        <w:t>Gunta Borisēviča</w:t>
      </w:r>
      <w:r w:rsidRPr="00845338">
        <w:rPr>
          <w:iCs/>
          <w:szCs w:val="24"/>
        </w:rPr>
        <w:t>,</w:t>
      </w:r>
      <w:r w:rsidRPr="00D16C44">
        <w:rPr>
          <w:iCs/>
          <w:szCs w:val="24"/>
        </w:rPr>
        <w:t xml:space="preserve"> </w:t>
      </w:r>
      <w:r w:rsidR="00395A23">
        <w:rPr>
          <w:iCs/>
          <w:szCs w:val="24"/>
        </w:rPr>
        <w:t xml:space="preserve">tālr. </w:t>
      </w:r>
      <w:r w:rsidR="00395A23" w:rsidRPr="00395A23">
        <w:rPr>
          <w:iCs/>
          <w:szCs w:val="24"/>
        </w:rPr>
        <w:t>67120238</w:t>
      </w:r>
      <w:r w:rsidR="00395A23">
        <w:rPr>
          <w:iCs/>
          <w:szCs w:val="24"/>
        </w:rPr>
        <w:t>.</w:t>
      </w:r>
    </w:p>
    <w:p w14:paraId="564CCBAC" w14:textId="77777777" w:rsidR="00C21854" w:rsidRPr="00326F16" w:rsidRDefault="00C21854"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77777777"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0A1C2001" w14:textId="75B66991" w:rsidR="003B3847" w:rsidRDefault="003B3847" w:rsidP="00A77531">
      <w:pPr>
        <w:widowControl w:val="0"/>
        <w:rPr>
          <w:rFonts w:cs="Times New Roman"/>
          <w:sz w:val="20"/>
          <w:szCs w:val="20"/>
        </w:rPr>
      </w:pPr>
    </w:p>
    <w:p w14:paraId="71FCD503" w14:textId="0E692AD5" w:rsidR="006963E1" w:rsidRDefault="006963E1">
      <w:pPr>
        <w:rPr>
          <w:rFonts w:cs="Times New Roman"/>
          <w:sz w:val="20"/>
          <w:szCs w:val="20"/>
        </w:rPr>
      </w:pPr>
      <w:r>
        <w:rPr>
          <w:rFonts w:cs="Times New Roman"/>
          <w:sz w:val="20"/>
          <w:szCs w:val="20"/>
        </w:rPr>
        <w:br w:type="page"/>
      </w:r>
    </w:p>
    <w:p w14:paraId="046E8F9A" w14:textId="77777777" w:rsidR="006963E1" w:rsidRDefault="006963E1" w:rsidP="006963E1">
      <w:pPr>
        <w:widowControl w:val="0"/>
        <w:jc w:val="right"/>
        <w:rPr>
          <w:rFonts w:cs="Times New Roman"/>
          <w:sz w:val="20"/>
          <w:szCs w:val="20"/>
        </w:rPr>
      </w:pPr>
      <w:r w:rsidRPr="00845338">
        <w:rPr>
          <w:rFonts w:cs="Times New Roman"/>
          <w:sz w:val="20"/>
          <w:szCs w:val="20"/>
        </w:rPr>
        <w:lastRenderedPageBreak/>
        <w:t>1.</w:t>
      </w:r>
      <w:r>
        <w:rPr>
          <w:rFonts w:cs="Times New Roman"/>
          <w:sz w:val="20"/>
          <w:szCs w:val="20"/>
        </w:rPr>
        <w:t>pielikums</w:t>
      </w:r>
    </w:p>
    <w:p w14:paraId="2087C357" w14:textId="77777777" w:rsidR="006963E1" w:rsidRDefault="006963E1" w:rsidP="006963E1">
      <w:pPr>
        <w:widowControl w:val="0"/>
        <w:jc w:val="right"/>
        <w:rPr>
          <w:rFonts w:cs="Times New Roman"/>
          <w:sz w:val="20"/>
          <w:szCs w:val="20"/>
        </w:rPr>
      </w:pPr>
    </w:p>
    <w:p w14:paraId="135DA385" w14:textId="77777777" w:rsidR="006963E1" w:rsidRPr="0023453C" w:rsidRDefault="006963E1" w:rsidP="006963E1">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Pr>
          <w:rFonts w:eastAsia="Times New Roman" w:cs="Times New Roman"/>
          <w:b/>
          <w:bCs/>
          <w:szCs w:val="24"/>
          <w:lang w:eastAsia="lv-LV"/>
        </w:rPr>
        <w:t>a</w:t>
      </w:r>
    </w:p>
    <w:p w14:paraId="0A56E0AA" w14:textId="77777777" w:rsidR="006963E1" w:rsidRDefault="006963E1" w:rsidP="006963E1">
      <w:pPr>
        <w:widowControl w:val="0"/>
        <w:rPr>
          <w:rFonts w:eastAsia="Times New Roman" w:cs="Times New Roman"/>
          <w:szCs w:val="24"/>
          <w:lang w:eastAsia="lv-LV"/>
        </w:rPr>
      </w:pPr>
    </w:p>
    <w:p w14:paraId="41F587D7" w14:textId="77777777" w:rsidR="006963E1" w:rsidRDefault="006963E1" w:rsidP="006963E1">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036911C9" w14:textId="77777777" w:rsidR="006963E1" w:rsidRDefault="006963E1" w:rsidP="006963E1">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vienu reizi 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70DBF4DA" w14:textId="77777777" w:rsidR="006963E1" w:rsidRDefault="006963E1" w:rsidP="006963E1">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4"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4D4F2C" w14:textId="77777777" w:rsidR="006963E1" w:rsidRDefault="006963E1" w:rsidP="006963E1">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4DE32E1D" w14:textId="77777777" w:rsidR="006963E1" w:rsidRDefault="006963E1" w:rsidP="006963E1">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1F6CF44A" w14:textId="77777777" w:rsidR="006963E1" w:rsidRDefault="006963E1" w:rsidP="006963E1">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Pr>
          <w:rFonts w:eastAsia="Times New Roman" w:cs="Times New Roman"/>
          <w:szCs w:val="24"/>
          <w:lang w:eastAsia="lv-LV"/>
        </w:rPr>
        <w:t>;</w:t>
      </w:r>
    </w:p>
    <w:p w14:paraId="31E487FC" w14:textId="77777777" w:rsidR="006963E1" w:rsidRPr="0023453C" w:rsidRDefault="006963E1" w:rsidP="006963E1">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 – </w:t>
      </w:r>
      <w:hyperlink r:id="rId15" w:history="1">
        <w:r w:rsidRPr="00091042">
          <w:rPr>
            <w:rStyle w:val="Hyperlink"/>
            <w:rFonts w:eastAsia="Times New Roman" w:cs="Times New Roman"/>
            <w:szCs w:val="24"/>
            <w:lang w:eastAsia="lv-LV"/>
          </w:rPr>
          <w:t>https://www.eparaksts.lv/lv/</w:t>
        </w:r>
      </w:hyperlink>
      <w:r>
        <w:rPr>
          <w:rFonts w:eastAsia="Times New Roman" w:cs="Times New Roman"/>
          <w:szCs w:val="24"/>
          <w:lang w:eastAsia="lv-LV"/>
        </w:rPr>
        <w:t xml:space="preserve">. </w:t>
      </w:r>
    </w:p>
    <w:p w14:paraId="2741A4DE" w14:textId="77777777" w:rsidR="006963E1" w:rsidRDefault="006963E1" w:rsidP="006963E1">
      <w:pPr>
        <w:widowControl w:val="0"/>
        <w:rPr>
          <w:rFonts w:cs="Times New Roman"/>
          <w:sz w:val="20"/>
          <w:szCs w:val="20"/>
        </w:rPr>
      </w:pPr>
    </w:p>
    <w:p w14:paraId="1C5E95B8" w14:textId="77777777" w:rsidR="006963E1" w:rsidRDefault="006963E1" w:rsidP="006963E1">
      <w:pPr>
        <w:widowControl w:val="0"/>
        <w:jc w:val="center"/>
        <w:rPr>
          <w:rFonts w:cs="Times New Roman"/>
          <w:sz w:val="20"/>
          <w:szCs w:val="20"/>
        </w:rPr>
      </w:pPr>
      <w:r>
        <w:rPr>
          <w:rFonts w:cs="Times New Roman"/>
          <w:noProof/>
          <w:sz w:val="20"/>
          <w:szCs w:val="20"/>
        </w:rPr>
        <w:drawing>
          <wp:inline distT="0" distB="0" distL="0" distR="0" wp14:anchorId="1D351B59" wp14:editId="1966D98F">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3A268BE" w14:textId="77777777" w:rsidR="006963E1" w:rsidRDefault="006963E1" w:rsidP="006963E1">
      <w:pPr>
        <w:widowControl w:val="0"/>
        <w:rPr>
          <w:rFonts w:cs="Times New Roman"/>
          <w:sz w:val="20"/>
          <w:szCs w:val="20"/>
        </w:rPr>
      </w:pPr>
    </w:p>
    <w:p w14:paraId="38992401" w14:textId="77777777" w:rsidR="006963E1" w:rsidRDefault="006963E1" w:rsidP="006963E1">
      <w:pPr>
        <w:widowControl w:val="0"/>
        <w:jc w:val="center"/>
        <w:rPr>
          <w:rFonts w:cs="Times New Roman"/>
          <w:sz w:val="20"/>
          <w:szCs w:val="20"/>
        </w:rPr>
      </w:pPr>
      <w:r>
        <w:rPr>
          <w:noProof/>
        </w:rPr>
        <w:drawing>
          <wp:inline distT="0" distB="0" distL="0" distR="0" wp14:anchorId="19B50D95" wp14:editId="51D6BD4F">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29695" cy="3219336"/>
                    </a:xfrm>
                    <a:prstGeom prst="rect">
                      <a:avLst/>
                    </a:prstGeom>
                  </pic:spPr>
                </pic:pic>
              </a:graphicData>
            </a:graphic>
          </wp:inline>
        </w:drawing>
      </w:r>
    </w:p>
    <w:p w14:paraId="66071241" w14:textId="77777777" w:rsidR="006963E1" w:rsidRDefault="006963E1" w:rsidP="006963E1">
      <w:pPr>
        <w:widowControl w:val="0"/>
        <w:rPr>
          <w:rFonts w:cs="Times New Roman"/>
          <w:sz w:val="20"/>
          <w:szCs w:val="20"/>
        </w:rPr>
      </w:pPr>
    </w:p>
    <w:p w14:paraId="385423ED" w14:textId="77777777" w:rsidR="006963E1" w:rsidRDefault="006963E1" w:rsidP="006963E1">
      <w:pPr>
        <w:widowControl w:val="0"/>
        <w:rPr>
          <w:rFonts w:cs="Times New Roman"/>
          <w:sz w:val="20"/>
          <w:szCs w:val="20"/>
        </w:rPr>
      </w:pPr>
      <w:r>
        <w:rPr>
          <w:rFonts w:cs="Times New Roman"/>
          <w:sz w:val="20"/>
          <w:szCs w:val="20"/>
        </w:rPr>
        <w:t>Izveidotais šifrētais piedāvājums (dzeltenā mapīte).</w:t>
      </w:r>
    </w:p>
    <w:p w14:paraId="739CDFBA" w14:textId="629FF2DE" w:rsidR="00A94D7E" w:rsidRDefault="006963E1" w:rsidP="00845338">
      <w:pPr>
        <w:widowControl w:val="0"/>
        <w:jc w:val="center"/>
        <w:rPr>
          <w:rFonts w:cs="Times New Roman"/>
          <w:sz w:val="20"/>
          <w:szCs w:val="20"/>
        </w:rPr>
      </w:pPr>
      <w:r>
        <w:rPr>
          <w:noProof/>
        </w:rPr>
        <w:drawing>
          <wp:inline distT="0" distB="0" distL="0" distR="0" wp14:anchorId="362951AC" wp14:editId="6A2F0262">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A94D7E" w:rsidSect="00385EAD">
      <w:headerReference w:type="default" r:id="rId1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82D59" w14:textId="77777777" w:rsidR="0057734E" w:rsidRDefault="0057734E" w:rsidP="00183526">
      <w:r>
        <w:separator/>
      </w:r>
    </w:p>
  </w:endnote>
  <w:endnote w:type="continuationSeparator" w:id="0">
    <w:p w14:paraId="4F9DB782" w14:textId="77777777" w:rsidR="0057734E" w:rsidRDefault="0057734E" w:rsidP="00183526">
      <w:r>
        <w:continuationSeparator/>
      </w:r>
    </w:p>
  </w:endnote>
  <w:endnote w:type="continuationNotice" w:id="1">
    <w:p w14:paraId="3CFA5DC1" w14:textId="77777777" w:rsidR="0057734E" w:rsidRDefault="00577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F1719" w14:textId="77777777" w:rsidR="0057734E" w:rsidRDefault="0057734E" w:rsidP="00183526">
      <w:r>
        <w:separator/>
      </w:r>
    </w:p>
  </w:footnote>
  <w:footnote w:type="continuationSeparator" w:id="0">
    <w:p w14:paraId="43DC5E9C" w14:textId="77777777" w:rsidR="0057734E" w:rsidRDefault="0057734E" w:rsidP="00183526">
      <w:r>
        <w:continuationSeparator/>
      </w:r>
    </w:p>
  </w:footnote>
  <w:footnote w:type="continuationNotice" w:id="1">
    <w:p w14:paraId="74990484" w14:textId="77777777" w:rsidR="0057734E" w:rsidRDefault="0057734E"/>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75F89E3F"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B494A8D"/>
    <w:multiLevelType w:val="multilevel"/>
    <w:tmpl w:val="F586BF68"/>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sz w:val="24"/>
        <w:szCs w:val="24"/>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9"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56E75DF"/>
    <w:multiLevelType w:val="hybridMultilevel"/>
    <w:tmpl w:val="01A80C9A"/>
    <w:lvl w:ilvl="0" w:tplc="9C8C1CAA">
      <w:start w:val="1"/>
      <w:numFmt w:val="decimal"/>
      <w:lvlText w:val="%1."/>
      <w:lvlJc w:val="left"/>
      <w:pPr>
        <w:ind w:left="720" w:hanging="360"/>
      </w:pPr>
      <w:rPr>
        <w:rFonts w:eastAsiaTheme="minorHAnsi" w:cstheme="minorBidi"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4"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6" w15:restartNumberingAfterBreak="0">
    <w:nsid w:val="4C731C95"/>
    <w:multiLevelType w:val="multilevel"/>
    <w:tmpl w:val="A3FA47B4"/>
    <w:lvl w:ilvl="0">
      <w:start w:val="1"/>
      <w:numFmt w:val="decimal"/>
      <w:lvlText w:val="%1."/>
      <w:lvlJc w:val="left"/>
      <w:pPr>
        <w:ind w:left="928" w:hanging="360"/>
      </w:pPr>
      <w:rPr>
        <w:rFonts w:ascii="Times New Roman Bold" w:hAnsi="Times New Roman Bold" w:hint="default"/>
        <w:b/>
        <w:bCs w:val="0"/>
      </w:rPr>
    </w:lvl>
    <w:lvl w:ilvl="1">
      <w:start w:val="1"/>
      <w:numFmt w:val="decimal"/>
      <w:isLgl/>
      <w:lvlText w:val="%1.%2."/>
      <w:lvlJc w:val="left"/>
      <w:pPr>
        <w:ind w:left="107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7"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38E7D45"/>
    <w:multiLevelType w:val="hybridMultilevel"/>
    <w:tmpl w:val="6F185B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3"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5"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8"/>
  </w:num>
  <w:num w:numId="2" w16cid:durableId="1500927709">
    <w:abstractNumId w:val="20"/>
  </w:num>
  <w:num w:numId="3" w16cid:durableId="767383059">
    <w:abstractNumId w:val="1"/>
  </w:num>
  <w:num w:numId="4" w16cid:durableId="771781543">
    <w:abstractNumId w:val="33"/>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5"/>
  </w:num>
  <w:num w:numId="9" w16cid:durableId="145441477">
    <w:abstractNumId w:val="17"/>
  </w:num>
  <w:num w:numId="10" w16cid:durableId="112673181">
    <w:abstractNumId w:val="3"/>
  </w:num>
  <w:num w:numId="11" w16cid:durableId="41056034">
    <w:abstractNumId w:val="10"/>
  </w:num>
  <w:num w:numId="12" w16cid:durableId="1926918543">
    <w:abstractNumId w:val="29"/>
  </w:num>
  <w:num w:numId="13" w16cid:durableId="1606426433">
    <w:abstractNumId w:val="7"/>
  </w:num>
  <w:num w:numId="14" w16cid:durableId="298806307">
    <w:abstractNumId w:val="36"/>
  </w:num>
  <w:num w:numId="15" w16cid:durableId="1364211704">
    <w:abstractNumId w:val="27"/>
  </w:num>
  <w:num w:numId="16" w16cid:durableId="1727993836">
    <w:abstractNumId w:val="25"/>
  </w:num>
  <w:num w:numId="17" w16cid:durableId="185801260">
    <w:abstractNumId w:val="6"/>
  </w:num>
  <w:num w:numId="18" w16cid:durableId="1604146751">
    <w:abstractNumId w:val="5"/>
  </w:num>
  <w:num w:numId="19" w16cid:durableId="82386620">
    <w:abstractNumId w:val="37"/>
  </w:num>
  <w:num w:numId="20" w16cid:durableId="791241671">
    <w:abstractNumId w:val="2"/>
  </w:num>
  <w:num w:numId="21" w16cid:durableId="1472362145">
    <w:abstractNumId w:val="16"/>
  </w:num>
  <w:num w:numId="22" w16cid:durableId="1099524379">
    <w:abstractNumId w:val="31"/>
  </w:num>
  <w:num w:numId="23" w16cid:durableId="122433928">
    <w:abstractNumId w:val="24"/>
  </w:num>
  <w:num w:numId="24" w16cid:durableId="1359232207">
    <w:abstractNumId w:val="35"/>
  </w:num>
  <w:num w:numId="25" w16cid:durableId="303237464">
    <w:abstractNumId w:val="8"/>
  </w:num>
  <w:num w:numId="26" w16cid:durableId="562646045">
    <w:abstractNumId w:val="22"/>
  </w:num>
  <w:num w:numId="27" w16cid:durableId="616837573">
    <w:abstractNumId w:val="19"/>
  </w:num>
  <w:num w:numId="28" w16cid:durableId="1285425847">
    <w:abstractNumId w:val="14"/>
  </w:num>
  <w:num w:numId="29" w16cid:durableId="255789602">
    <w:abstractNumId w:val="12"/>
  </w:num>
  <w:num w:numId="30" w16cid:durableId="1185361322">
    <w:abstractNumId w:val="13"/>
  </w:num>
  <w:num w:numId="31" w16cid:durableId="1199126460">
    <w:abstractNumId w:val="32"/>
  </w:num>
  <w:num w:numId="32" w16cid:durableId="911039321">
    <w:abstractNumId w:val="26"/>
  </w:num>
  <w:num w:numId="33" w16cid:durableId="2107341477">
    <w:abstractNumId w:val="23"/>
  </w:num>
  <w:num w:numId="34" w16cid:durableId="1821925811">
    <w:abstractNumId w:val="0"/>
  </w:num>
  <w:num w:numId="35" w16cid:durableId="838889223">
    <w:abstractNumId w:val="30"/>
  </w:num>
  <w:num w:numId="36" w16cid:durableId="1652055705">
    <w:abstractNumId w:val="21"/>
  </w:num>
  <w:num w:numId="37" w16cid:durableId="1669020823">
    <w:abstractNumId w:val="0"/>
  </w:num>
  <w:num w:numId="38" w16cid:durableId="1021661606">
    <w:abstractNumId w:val="0"/>
  </w:num>
  <w:num w:numId="39" w16cid:durableId="206072610">
    <w:abstractNumId w:val="9"/>
  </w:num>
  <w:num w:numId="40" w16cid:durableId="201379286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BFE"/>
    <w:rsid w:val="00006C2C"/>
    <w:rsid w:val="00007175"/>
    <w:rsid w:val="00010EA7"/>
    <w:rsid w:val="000128BA"/>
    <w:rsid w:val="000134CD"/>
    <w:rsid w:val="00013904"/>
    <w:rsid w:val="00014CEA"/>
    <w:rsid w:val="00014DFD"/>
    <w:rsid w:val="000253D3"/>
    <w:rsid w:val="00025B6C"/>
    <w:rsid w:val="00032351"/>
    <w:rsid w:val="00032FCF"/>
    <w:rsid w:val="000341F3"/>
    <w:rsid w:val="00034770"/>
    <w:rsid w:val="000359B4"/>
    <w:rsid w:val="00054748"/>
    <w:rsid w:val="00054B19"/>
    <w:rsid w:val="00055163"/>
    <w:rsid w:val="00056721"/>
    <w:rsid w:val="0006163F"/>
    <w:rsid w:val="00061AAB"/>
    <w:rsid w:val="000664A4"/>
    <w:rsid w:val="00070641"/>
    <w:rsid w:val="00070B01"/>
    <w:rsid w:val="000776A7"/>
    <w:rsid w:val="00085BE6"/>
    <w:rsid w:val="00086A7A"/>
    <w:rsid w:val="00087D18"/>
    <w:rsid w:val="0009245D"/>
    <w:rsid w:val="000A0838"/>
    <w:rsid w:val="000A163C"/>
    <w:rsid w:val="000A3F84"/>
    <w:rsid w:val="000C23CD"/>
    <w:rsid w:val="000C6592"/>
    <w:rsid w:val="000D2092"/>
    <w:rsid w:val="000D2954"/>
    <w:rsid w:val="000D7490"/>
    <w:rsid w:val="000E2ACE"/>
    <w:rsid w:val="000E345B"/>
    <w:rsid w:val="000F4217"/>
    <w:rsid w:val="000F5054"/>
    <w:rsid w:val="001026E7"/>
    <w:rsid w:val="0010542E"/>
    <w:rsid w:val="00112522"/>
    <w:rsid w:val="00112C30"/>
    <w:rsid w:val="00113380"/>
    <w:rsid w:val="00122319"/>
    <w:rsid w:val="00122AF8"/>
    <w:rsid w:val="00123564"/>
    <w:rsid w:val="00127A17"/>
    <w:rsid w:val="00127DB0"/>
    <w:rsid w:val="001338F7"/>
    <w:rsid w:val="0013790B"/>
    <w:rsid w:val="001412FA"/>
    <w:rsid w:val="00147A96"/>
    <w:rsid w:val="00153721"/>
    <w:rsid w:val="00154282"/>
    <w:rsid w:val="00154725"/>
    <w:rsid w:val="001574FD"/>
    <w:rsid w:val="00162D66"/>
    <w:rsid w:val="0016491C"/>
    <w:rsid w:val="00166847"/>
    <w:rsid w:val="00166D68"/>
    <w:rsid w:val="0016742B"/>
    <w:rsid w:val="0017122C"/>
    <w:rsid w:val="001737B5"/>
    <w:rsid w:val="001834F2"/>
    <w:rsid w:val="00183526"/>
    <w:rsid w:val="0019250D"/>
    <w:rsid w:val="00193220"/>
    <w:rsid w:val="001940CB"/>
    <w:rsid w:val="00194A2E"/>
    <w:rsid w:val="001A00E5"/>
    <w:rsid w:val="001A1CC5"/>
    <w:rsid w:val="001B1734"/>
    <w:rsid w:val="001B293F"/>
    <w:rsid w:val="001B3229"/>
    <w:rsid w:val="001B77CF"/>
    <w:rsid w:val="001C0483"/>
    <w:rsid w:val="001C0AD1"/>
    <w:rsid w:val="001C28B3"/>
    <w:rsid w:val="001C327F"/>
    <w:rsid w:val="001D0800"/>
    <w:rsid w:val="001D08A3"/>
    <w:rsid w:val="001D6A6E"/>
    <w:rsid w:val="001D7F8C"/>
    <w:rsid w:val="001E1C18"/>
    <w:rsid w:val="001E22B4"/>
    <w:rsid w:val="001F0206"/>
    <w:rsid w:val="001F1B7B"/>
    <w:rsid w:val="001F75B4"/>
    <w:rsid w:val="00207472"/>
    <w:rsid w:val="00211D3D"/>
    <w:rsid w:val="00212746"/>
    <w:rsid w:val="00217107"/>
    <w:rsid w:val="002221B8"/>
    <w:rsid w:val="00227D10"/>
    <w:rsid w:val="00231AAF"/>
    <w:rsid w:val="00233CE4"/>
    <w:rsid w:val="00233DB3"/>
    <w:rsid w:val="00236B9A"/>
    <w:rsid w:val="00240842"/>
    <w:rsid w:val="00240DC2"/>
    <w:rsid w:val="00243089"/>
    <w:rsid w:val="0024395C"/>
    <w:rsid w:val="00247646"/>
    <w:rsid w:val="00251438"/>
    <w:rsid w:val="00252978"/>
    <w:rsid w:val="002540C5"/>
    <w:rsid w:val="00254D9C"/>
    <w:rsid w:val="00257E53"/>
    <w:rsid w:val="00263A8B"/>
    <w:rsid w:val="00264ACD"/>
    <w:rsid w:val="002652F2"/>
    <w:rsid w:val="00275CE1"/>
    <w:rsid w:val="002821EA"/>
    <w:rsid w:val="002867D5"/>
    <w:rsid w:val="0029358F"/>
    <w:rsid w:val="002944FF"/>
    <w:rsid w:val="002A574D"/>
    <w:rsid w:val="002A630D"/>
    <w:rsid w:val="002A72E0"/>
    <w:rsid w:val="002B0FCF"/>
    <w:rsid w:val="002B334F"/>
    <w:rsid w:val="002B79AD"/>
    <w:rsid w:val="002C3CA6"/>
    <w:rsid w:val="002D2490"/>
    <w:rsid w:val="002D299B"/>
    <w:rsid w:val="002E4F68"/>
    <w:rsid w:val="002E7319"/>
    <w:rsid w:val="002E74A7"/>
    <w:rsid w:val="002F42A8"/>
    <w:rsid w:val="002F4891"/>
    <w:rsid w:val="002F797F"/>
    <w:rsid w:val="003127E8"/>
    <w:rsid w:val="00313B3B"/>
    <w:rsid w:val="00320940"/>
    <w:rsid w:val="00320A84"/>
    <w:rsid w:val="003219DE"/>
    <w:rsid w:val="00321B9B"/>
    <w:rsid w:val="00326F16"/>
    <w:rsid w:val="00331763"/>
    <w:rsid w:val="00333C47"/>
    <w:rsid w:val="00337B84"/>
    <w:rsid w:val="003435AD"/>
    <w:rsid w:val="003530CF"/>
    <w:rsid w:val="00354E17"/>
    <w:rsid w:val="00360B63"/>
    <w:rsid w:val="00361DFE"/>
    <w:rsid w:val="00363A58"/>
    <w:rsid w:val="00363CC4"/>
    <w:rsid w:val="00363DA9"/>
    <w:rsid w:val="0037158A"/>
    <w:rsid w:val="003723E1"/>
    <w:rsid w:val="00373DE8"/>
    <w:rsid w:val="003762FB"/>
    <w:rsid w:val="003806B3"/>
    <w:rsid w:val="003828F1"/>
    <w:rsid w:val="0038448D"/>
    <w:rsid w:val="00384803"/>
    <w:rsid w:val="00385EAD"/>
    <w:rsid w:val="003915D0"/>
    <w:rsid w:val="00395A23"/>
    <w:rsid w:val="003A35B1"/>
    <w:rsid w:val="003A3B43"/>
    <w:rsid w:val="003B3847"/>
    <w:rsid w:val="003B3F08"/>
    <w:rsid w:val="003B426A"/>
    <w:rsid w:val="003B569E"/>
    <w:rsid w:val="003B5C4E"/>
    <w:rsid w:val="003B60DC"/>
    <w:rsid w:val="003C2BE6"/>
    <w:rsid w:val="003C3738"/>
    <w:rsid w:val="003C3BDC"/>
    <w:rsid w:val="003D6890"/>
    <w:rsid w:val="003E1967"/>
    <w:rsid w:val="003E20DD"/>
    <w:rsid w:val="003E3655"/>
    <w:rsid w:val="003E4E1B"/>
    <w:rsid w:val="003E5C05"/>
    <w:rsid w:val="003F08E4"/>
    <w:rsid w:val="003F4BD9"/>
    <w:rsid w:val="00400A3B"/>
    <w:rsid w:val="0040277E"/>
    <w:rsid w:val="004060B7"/>
    <w:rsid w:val="00412D93"/>
    <w:rsid w:val="00413119"/>
    <w:rsid w:val="00421687"/>
    <w:rsid w:val="0042318C"/>
    <w:rsid w:val="00425584"/>
    <w:rsid w:val="00425C2C"/>
    <w:rsid w:val="00426512"/>
    <w:rsid w:val="004308E1"/>
    <w:rsid w:val="0043101D"/>
    <w:rsid w:val="00433E2B"/>
    <w:rsid w:val="00437B95"/>
    <w:rsid w:val="00443A9C"/>
    <w:rsid w:val="00443C4E"/>
    <w:rsid w:val="00445A1A"/>
    <w:rsid w:val="00450B69"/>
    <w:rsid w:val="004602D6"/>
    <w:rsid w:val="00466C6B"/>
    <w:rsid w:val="004673B5"/>
    <w:rsid w:val="00475B0E"/>
    <w:rsid w:val="0048494D"/>
    <w:rsid w:val="00484C79"/>
    <w:rsid w:val="00486BEC"/>
    <w:rsid w:val="0049218D"/>
    <w:rsid w:val="00496CE7"/>
    <w:rsid w:val="00497900"/>
    <w:rsid w:val="004B36DC"/>
    <w:rsid w:val="004B3C64"/>
    <w:rsid w:val="004B47CE"/>
    <w:rsid w:val="004B501C"/>
    <w:rsid w:val="004B67A8"/>
    <w:rsid w:val="004C4561"/>
    <w:rsid w:val="004D27CA"/>
    <w:rsid w:val="004D2AC6"/>
    <w:rsid w:val="004D2CB9"/>
    <w:rsid w:val="004D451C"/>
    <w:rsid w:val="004D6C98"/>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0F3"/>
    <w:rsid w:val="0052064A"/>
    <w:rsid w:val="00522051"/>
    <w:rsid w:val="005226C2"/>
    <w:rsid w:val="00526901"/>
    <w:rsid w:val="00531E9F"/>
    <w:rsid w:val="00532674"/>
    <w:rsid w:val="005449CA"/>
    <w:rsid w:val="005478D1"/>
    <w:rsid w:val="00550C85"/>
    <w:rsid w:val="005519D6"/>
    <w:rsid w:val="00552D7C"/>
    <w:rsid w:val="0055402F"/>
    <w:rsid w:val="005573A4"/>
    <w:rsid w:val="005641EB"/>
    <w:rsid w:val="0056553A"/>
    <w:rsid w:val="00565858"/>
    <w:rsid w:val="00566785"/>
    <w:rsid w:val="00566939"/>
    <w:rsid w:val="00571D65"/>
    <w:rsid w:val="005756B3"/>
    <w:rsid w:val="00575BF2"/>
    <w:rsid w:val="0057734E"/>
    <w:rsid w:val="00592ECD"/>
    <w:rsid w:val="005933A4"/>
    <w:rsid w:val="0059620C"/>
    <w:rsid w:val="005A703E"/>
    <w:rsid w:val="005A7A46"/>
    <w:rsid w:val="005B5EAB"/>
    <w:rsid w:val="005C2607"/>
    <w:rsid w:val="005C6571"/>
    <w:rsid w:val="005D40C9"/>
    <w:rsid w:val="005E63A5"/>
    <w:rsid w:val="005E6EE6"/>
    <w:rsid w:val="005E7B1D"/>
    <w:rsid w:val="005F09A3"/>
    <w:rsid w:val="005F1C2B"/>
    <w:rsid w:val="00601696"/>
    <w:rsid w:val="0060292D"/>
    <w:rsid w:val="00603899"/>
    <w:rsid w:val="00604DB2"/>
    <w:rsid w:val="00604EC8"/>
    <w:rsid w:val="00612059"/>
    <w:rsid w:val="006167EF"/>
    <w:rsid w:val="00617097"/>
    <w:rsid w:val="006170E0"/>
    <w:rsid w:val="006252F8"/>
    <w:rsid w:val="006300DE"/>
    <w:rsid w:val="0063092F"/>
    <w:rsid w:val="0063145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3F78"/>
    <w:rsid w:val="0068632A"/>
    <w:rsid w:val="0069319E"/>
    <w:rsid w:val="006963E1"/>
    <w:rsid w:val="00697781"/>
    <w:rsid w:val="006A0FEE"/>
    <w:rsid w:val="006A176E"/>
    <w:rsid w:val="006A1B64"/>
    <w:rsid w:val="006A1EB2"/>
    <w:rsid w:val="006A2196"/>
    <w:rsid w:val="006A6D7C"/>
    <w:rsid w:val="006B1729"/>
    <w:rsid w:val="006B4756"/>
    <w:rsid w:val="006B5BF8"/>
    <w:rsid w:val="006B6715"/>
    <w:rsid w:val="006C6414"/>
    <w:rsid w:val="006D6B57"/>
    <w:rsid w:val="006D7451"/>
    <w:rsid w:val="006E1284"/>
    <w:rsid w:val="006E1EED"/>
    <w:rsid w:val="006E2BD1"/>
    <w:rsid w:val="006E2C24"/>
    <w:rsid w:val="006E3CA1"/>
    <w:rsid w:val="006F0110"/>
    <w:rsid w:val="006F3D91"/>
    <w:rsid w:val="006F41DC"/>
    <w:rsid w:val="006F5FC3"/>
    <w:rsid w:val="006F7418"/>
    <w:rsid w:val="00706B3F"/>
    <w:rsid w:val="0071542A"/>
    <w:rsid w:val="00716500"/>
    <w:rsid w:val="00716787"/>
    <w:rsid w:val="00716850"/>
    <w:rsid w:val="007169DA"/>
    <w:rsid w:val="00717370"/>
    <w:rsid w:val="00720779"/>
    <w:rsid w:val="00720948"/>
    <w:rsid w:val="007312E1"/>
    <w:rsid w:val="007315BB"/>
    <w:rsid w:val="00731AF5"/>
    <w:rsid w:val="00736C4C"/>
    <w:rsid w:val="007462BE"/>
    <w:rsid w:val="0074644B"/>
    <w:rsid w:val="007467D2"/>
    <w:rsid w:val="00761FF8"/>
    <w:rsid w:val="007636B3"/>
    <w:rsid w:val="00767071"/>
    <w:rsid w:val="0077090C"/>
    <w:rsid w:val="007728B1"/>
    <w:rsid w:val="00784B6B"/>
    <w:rsid w:val="007904D3"/>
    <w:rsid w:val="00792541"/>
    <w:rsid w:val="00794D30"/>
    <w:rsid w:val="00794E85"/>
    <w:rsid w:val="007A3B50"/>
    <w:rsid w:val="007A7ED3"/>
    <w:rsid w:val="007B22C7"/>
    <w:rsid w:val="007B3954"/>
    <w:rsid w:val="007B7359"/>
    <w:rsid w:val="007C3840"/>
    <w:rsid w:val="007D1803"/>
    <w:rsid w:val="007D2A2A"/>
    <w:rsid w:val="007D343C"/>
    <w:rsid w:val="007D3FB1"/>
    <w:rsid w:val="007E18F1"/>
    <w:rsid w:val="007E2B85"/>
    <w:rsid w:val="007E3FA1"/>
    <w:rsid w:val="007E71A5"/>
    <w:rsid w:val="007F2F8D"/>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3730B"/>
    <w:rsid w:val="00842BC1"/>
    <w:rsid w:val="00845338"/>
    <w:rsid w:val="0084624E"/>
    <w:rsid w:val="00855A52"/>
    <w:rsid w:val="00862024"/>
    <w:rsid w:val="00864BE0"/>
    <w:rsid w:val="0086718C"/>
    <w:rsid w:val="0087071E"/>
    <w:rsid w:val="00870932"/>
    <w:rsid w:val="00874510"/>
    <w:rsid w:val="00880693"/>
    <w:rsid w:val="00892C30"/>
    <w:rsid w:val="00892D63"/>
    <w:rsid w:val="00893F7A"/>
    <w:rsid w:val="00896B8A"/>
    <w:rsid w:val="008A6314"/>
    <w:rsid w:val="008B2EC3"/>
    <w:rsid w:val="008B542D"/>
    <w:rsid w:val="008B5B7B"/>
    <w:rsid w:val="008B7F46"/>
    <w:rsid w:val="008C228A"/>
    <w:rsid w:val="008C3DBE"/>
    <w:rsid w:val="008C5986"/>
    <w:rsid w:val="008D34D7"/>
    <w:rsid w:val="008D41FC"/>
    <w:rsid w:val="008D5B93"/>
    <w:rsid w:val="008E00BA"/>
    <w:rsid w:val="008E206C"/>
    <w:rsid w:val="008F2524"/>
    <w:rsid w:val="008F5114"/>
    <w:rsid w:val="008F6BC8"/>
    <w:rsid w:val="008F6E9C"/>
    <w:rsid w:val="0090677C"/>
    <w:rsid w:val="0090759B"/>
    <w:rsid w:val="009113AC"/>
    <w:rsid w:val="0091169E"/>
    <w:rsid w:val="00913516"/>
    <w:rsid w:val="00917641"/>
    <w:rsid w:val="0092247C"/>
    <w:rsid w:val="0092250B"/>
    <w:rsid w:val="00926CFC"/>
    <w:rsid w:val="009302CD"/>
    <w:rsid w:val="0093300E"/>
    <w:rsid w:val="00936765"/>
    <w:rsid w:val="00936DA3"/>
    <w:rsid w:val="00936DFB"/>
    <w:rsid w:val="00942A7B"/>
    <w:rsid w:val="00945D7B"/>
    <w:rsid w:val="009507EB"/>
    <w:rsid w:val="00950F93"/>
    <w:rsid w:val="0095403E"/>
    <w:rsid w:val="00954A97"/>
    <w:rsid w:val="00960CB5"/>
    <w:rsid w:val="009617C3"/>
    <w:rsid w:val="009626E8"/>
    <w:rsid w:val="0096341C"/>
    <w:rsid w:val="009721DC"/>
    <w:rsid w:val="00977382"/>
    <w:rsid w:val="009809E5"/>
    <w:rsid w:val="00984DDA"/>
    <w:rsid w:val="00985191"/>
    <w:rsid w:val="009863DC"/>
    <w:rsid w:val="009905FC"/>
    <w:rsid w:val="00994B84"/>
    <w:rsid w:val="00996733"/>
    <w:rsid w:val="0099737C"/>
    <w:rsid w:val="009A0415"/>
    <w:rsid w:val="009A1FCD"/>
    <w:rsid w:val="009A2A1B"/>
    <w:rsid w:val="009A5406"/>
    <w:rsid w:val="009B0DF6"/>
    <w:rsid w:val="009B1F8E"/>
    <w:rsid w:val="009B2996"/>
    <w:rsid w:val="009D0506"/>
    <w:rsid w:val="009D6D25"/>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2A1E"/>
    <w:rsid w:val="00A2470C"/>
    <w:rsid w:val="00A259CA"/>
    <w:rsid w:val="00A27046"/>
    <w:rsid w:val="00A47F92"/>
    <w:rsid w:val="00A53A63"/>
    <w:rsid w:val="00A570C4"/>
    <w:rsid w:val="00A600AF"/>
    <w:rsid w:val="00A619ED"/>
    <w:rsid w:val="00A73300"/>
    <w:rsid w:val="00A73AF7"/>
    <w:rsid w:val="00A7529C"/>
    <w:rsid w:val="00A77531"/>
    <w:rsid w:val="00A815AA"/>
    <w:rsid w:val="00A90686"/>
    <w:rsid w:val="00A92B65"/>
    <w:rsid w:val="00A939F5"/>
    <w:rsid w:val="00A94D7E"/>
    <w:rsid w:val="00A9733B"/>
    <w:rsid w:val="00AA0235"/>
    <w:rsid w:val="00AA0EE5"/>
    <w:rsid w:val="00AB26BC"/>
    <w:rsid w:val="00AB73CD"/>
    <w:rsid w:val="00AC06A7"/>
    <w:rsid w:val="00AC3DDE"/>
    <w:rsid w:val="00AC56DA"/>
    <w:rsid w:val="00AC644E"/>
    <w:rsid w:val="00AC6559"/>
    <w:rsid w:val="00AD4496"/>
    <w:rsid w:val="00AD5B07"/>
    <w:rsid w:val="00AD6D17"/>
    <w:rsid w:val="00AE10A5"/>
    <w:rsid w:val="00AE6031"/>
    <w:rsid w:val="00AF2488"/>
    <w:rsid w:val="00AF2D56"/>
    <w:rsid w:val="00B01743"/>
    <w:rsid w:val="00B126E8"/>
    <w:rsid w:val="00B127A4"/>
    <w:rsid w:val="00B13704"/>
    <w:rsid w:val="00B14DD6"/>
    <w:rsid w:val="00B216D8"/>
    <w:rsid w:val="00B21CE4"/>
    <w:rsid w:val="00B2424E"/>
    <w:rsid w:val="00B27FEB"/>
    <w:rsid w:val="00B31C7E"/>
    <w:rsid w:val="00B34373"/>
    <w:rsid w:val="00B358E5"/>
    <w:rsid w:val="00B37378"/>
    <w:rsid w:val="00B46466"/>
    <w:rsid w:val="00B47BD2"/>
    <w:rsid w:val="00B60556"/>
    <w:rsid w:val="00B66D1E"/>
    <w:rsid w:val="00B6741A"/>
    <w:rsid w:val="00B674E6"/>
    <w:rsid w:val="00B67E29"/>
    <w:rsid w:val="00B73EA6"/>
    <w:rsid w:val="00B73F60"/>
    <w:rsid w:val="00B76CB6"/>
    <w:rsid w:val="00B81403"/>
    <w:rsid w:val="00B823C7"/>
    <w:rsid w:val="00B83755"/>
    <w:rsid w:val="00B86A8E"/>
    <w:rsid w:val="00B97326"/>
    <w:rsid w:val="00BA38CA"/>
    <w:rsid w:val="00BA5C96"/>
    <w:rsid w:val="00BA6247"/>
    <w:rsid w:val="00BB3080"/>
    <w:rsid w:val="00BB36C8"/>
    <w:rsid w:val="00BC6432"/>
    <w:rsid w:val="00BC6B5A"/>
    <w:rsid w:val="00BD4197"/>
    <w:rsid w:val="00BD6EEC"/>
    <w:rsid w:val="00BE0F9D"/>
    <w:rsid w:val="00BE32EB"/>
    <w:rsid w:val="00BF1B43"/>
    <w:rsid w:val="00BF315D"/>
    <w:rsid w:val="00BF57DA"/>
    <w:rsid w:val="00C020E3"/>
    <w:rsid w:val="00C03717"/>
    <w:rsid w:val="00C050CE"/>
    <w:rsid w:val="00C14327"/>
    <w:rsid w:val="00C1541E"/>
    <w:rsid w:val="00C15993"/>
    <w:rsid w:val="00C15BDB"/>
    <w:rsid w:val="00C21854"/>
    <w:rsid w:val="00C23883"/>
    <w:rsid w:val="00C333C6"/>
    <w:rsid w:val="00C35AA7"/>
    <w:rsid w:val="00C37F8D"/>
    <w:rsid w:val="00C4082D"/>
    <w:rsid w:val="00C40C05"/>
    <w:rsid w:val="00C41BED"/>
    <w:rsid w:val="00C4211E"/>
    <w:rsid w:val="00C42B1A"/>
    <w:rsid w:val="00C45842"/>
    <w:rsid w:val="00C45913"/>
    <w:rsid w:val="00C53108"/>
    <w:rsid w:val="00C550FA"/>
    <w:rsid w:val="00C56A53"/>
    <w:rsid w:val="00C60F0C"/>
    <w:rsid w:val="00C80EE4"/>
    <w:rsid w:val="00C842E2"/>
    <w:rsid w:val="00C85F37"/>
    <w:rsid w:val="00C8707D"/>
    <w:rsid w:val="00C91E57"/>
    <w:rsid w:val="00C921B6"/>
    <w:rsid w:val="00CA2C08"/>
    <w:rsid w:val="00CA618F"/>
    <w:rsid w:val="00CB1089"/>
    <w:rsid w:val="00CB4A24"/>
    <w:rsid w:val="00CB7C8F"/>
    <w:rsid w:val="00CC1573"/>
    <w:rsid w:val="00CC192B"/>
    <w:rsid w:val="00CC5FC7"/>
    <w:rsid w:val="00CC7947"/>
    <w:rsid w:val="00CD0506"/>
    <w:rsid w:val="00CD1BE4"/>
    <w:rsid w:val="00CD6A46"/>
    <w:rsid w:val="00CE0759"/>
    <w:rsid w:val="00CE0883"/>
    <w:rsid w:val="00CE4868"/>
    <w:rsid w:val="00CE6B40"/>
    <w:rsid w:val="00CF2A59"/>
    <w:rsid w:val="00CF7024"/>
    <w:rsid w:val="00D01AAD"/>
    <w:rsid w:val="00D04525"/>
    <w:rsid w:val="00D079F8"/>
    <w:rsid w:val="00D103F3"/>
    <w:rsid w:val="00D236FF"/>
    <w:rsid w:val="00D40EC8"/>
    <w:rsid w:val="00D46CAF"/>
    <w:rsid w:val="00D46EFF"/>
    <w:rsid w:val="00D50D71"/>
    <w:rsid w:val="00D560C7"/>
    <w:rsid w:val="00D57E75"/>
    <w:rsid w:val="00D71476"/>
    <w:rsid w:val="00D76408"/>
    <w:rsid w:val="00D834E2"/>
    <w:rsid w:val="00D8521E"/>
    <w:rsid w:val="00D87D36"/>
    <w:rsid w:val="00D93C8B"/>
    <w:rsid w:val="00D94177"/>
    <w:rsid w:val="00D94515"/>
    <w:rsid w:val="00D9539C"/>
    <w:rsid w:val="00D95C74"/>
    <w:rsid w:val="00D96C47"/>
    <w:rsid w:val="00D979EB"/>
    <w:rsid w:val="00DA0D4D"/>
    <w:rsid w:val="00DA1F52"/>
    <w:rsid w:val="00DA7329"/>
    <w:rsid w:val="00DB463C"/>
    <w:rsid w:val="00DB49E1"/>
    <w:rsid w:val="00DB6ABE"/>
    <w:rsid w:val="00DC0400"/>
    <w:rsid w:val="00DC4648"/>
    <w:rsid w:val="00DC5DF7"/>
    <w:rsid w:val="00DC7D53"/>
    <w:rsid w:val="00DD2488"/>
    <w:rsid w:val="00DE58DE"/>
    <w:rsid w:val="00DE766A"/>
    <w:rsid w:val="00DF3FBD"/>
    <w:rsid w:val="00E03766"/>
    <w:rsid w:val="00E057D8"/>
    <w:rsid w:val="00E05DAA"/>
    <w:rsid w:val="00E1001A"/>
    <w:rsid w:val="00E13CE1"/>
    <w:rsid w:val="00E21016"/>
    <w:rsid w:val="00E34BB3"/>
    <w:rsid w:val="00E371A6"/>
    <w:rsid w:val="00E37E47"/>
    <w:rsid w:val="00E41032"/>
    <w:rsid w:val="00E4216B"/>
    <w:rsid w:val="00E43E86"/>
    <w:rsid w:val="00E47790"/>
    <w:rsid w:val="00E5157B"/>
    <w:rsid w:val="00E5447F"/>
    <w:rsid w:val="00E54612"/>
    <w:rsid w:val="00E60EAD"/>
    <w:rsid w:val="00E61101"/>
    <w:rsid w:val="00E67C4D"/>
    <w:rsid w:val="00E7532A"/>
    <w:rsid w:val="00E82744"/>
    <w:rsid w:val="00E82FCD"/>
    <w:rsid w:val="00E861A3"/>
    <w:rsid w:val="00E86B03"/>
    <w:rsid w:val="00E90E42"/>
    <w:rsid w:val="00E910F0"/>
    <w:rsid w:val="00E91A85"/>
    <w:rsid w:val="00E9201C"/>
    <w:rsid w:val="00EA79BF"/>
    <w:rsid w:val="00EB0F07"/>
    <w:rsid w:val="00EB0FFF"/>
    <w:rsid w:val="00EB1F2C"/>
    <w:rsid w:val="00EB3854"/>
    <w:rsid w:val="00EB448C"/>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4161"/>
    <w:rsid w:val="00F00565"/>
    <w:rsid w:val="00F04947"/>
    <w:rsid w:val="00F117FB"/>
    <w:rsid w:val="00F1382C"/>
    <w:rsid w:val="00F13A58"/>
    <w:rsid w:val="00F167CC"/>
    <w:rsid w:val="00F2346B"/>
    <w:rsid w:val="00F237EB"/>
    <w:rsid w:val="00F347E2"/>
    <w:rsid w:val="00F40AB6"/>
    <w:rsid w:val="00F5122E"/>
    <w:rsid w:val="00F51948"/>
    <w:rsid w:val="00F5717C"/>
    <w:rsid w:val="00F57A79"/>
    <w:rsid w:val="00F619DD"/>
    <w:rsid w:val="00F61D38"/>
    <w:rsid w:val="00F63462"/>
    <w:rsid w:val="00F70C28"/>
    <w:rsid w:val="00F733FA"/>
    <w:rsid w:val="00F7464B"/>
    <w:rsid w:val="00F81BFA"/>
    <w:rsid w:val="00F841E8"/>
    <w:rsid w:val="00F86C66"/>
    <w:rsid w:val="00F9624F"/>
    <w:rsid w:val="00FA0EF8"/>
    <w:rsid w:val="00FA26FE"/>
    <w:rsid w:val="00FA2E6D"/>
    <w:rsid w:val="00FB1AFE"/>
    <w:rsid w:val="00FB2753"/>
    <w:rsid w:val="00FB5AC1"/>
    <w:rsid w:val="00FB6A95"/>
    <w:rsid w:val="00FC041F"/>
    <w:rsid w:val="00FC140F"/>
    <w:rsid w:val="00FC2874"/>
    <w:rsid w:val="00FC46D3"/>
    <w:rsid w:val="00FC7100"/>
    <w:rsid w:val="00FD08AC"/>
    <w:rsid w:val="00FD0903"/>
    <w:rsid w:val="00FD2941"/>
    <w:rsid w:val="00FD5149"/>
    <w:rsid w:val="00FD649B"/>
    <w:rsid w:val="00FD683C"/>
    <w:rsid w:val="00FD7449"/>
    <w:rsid w:val="00FE5495"/>
    <w:rsid w:val="00FF3D6D"/>
    <w:rsid w:val="00FF4703"/>
    <w:rsid w:val="00FF4F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customStyle="1" w:styleId="FontStyle18">
    <w:name w:val="Font Style18"/>
    <w:basedOn w:val="DefaultParagraphFont"/>
    <w:uiPriority w:val="99"/>
    <w:rsid w:val="00E371A6"/>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fo.ur.gov.lv/"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eta.Denisko@vid.gov.lv"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P.lietvediba@vid.gov.lv" TargetMode="External"/><Relationship Id="rId5" Type="http://schemas.openxmlformats.org/officeDocument/2006/relationships/numbering" Target="numbering.xml"/><Relationship Id="rId15" Type="http://schemas.openxmlformats.org/officeDocument/2006/relationships/hyperlink" Target="https://www.eparaksts.lv/lv/"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7-zi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7B233795755CEE46BBADD4047DE26C1E" ma:contentTypeVersion="0" ma:contentTypeDescription="Izveidot jaunu dokumentu." ma:contentTypeScope="" ma:versionID="eba1ddb220c197fa4eec594dfba7afd3">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2D93A-06F1-483F-BE16-8DE3CF0D2495}">
  <ds:schemaRefs>
    <ds:schemaRef ds:uri="http://schemas.microsoft.com/office/infopath/2007/PartnerControls"/>
    <ds:schemaRef ds:uri="http://www.w3.org/XML/1998/namespace"/>
    <ds:schemaRef ds:uri="http://schemas.microsoft.com/office/2006/documentManagement/types"/>
    <ds:schemaRef ds:uri="http://purl.org/dc/elements/1.1/"/>
    <ds:schemaRef ds:uri="http://schemas.microsoft.com/office/2006/metadata/properties"/>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3.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4.xml><?xml version="1.0" encoding="utf-8"?>
<ds:datastoreItem xmlns:ds="http://schemas.openxmlformats.org/officeDocument/2006/customXml" ds:itemID="{6685EB21-0ED6-48E6-820D-495E48D1D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2463</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Gunta Borisēviča</cp:lastModifiedBy>
  <cp:revision>4</cp:revision>
  <dcterms:created xsi:type="dcterms:W3CDTF">2024-03-21T06:38:00Z</dcterms:created>
  <dcterms:modified xsi:type="dcterms:W3CDTF">2024-03-21T06:54:00Z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0x0101007B233795755CEE46BBADD4047DE26C1E</vt:lpwstr>
  </property>
</Properties>
</file>